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9FDED" w14:textId="43ADCEC1" w:rsidR="009B3919" w:rsidRPr="009F73AF" w:rsidRDefault="009F73AF" w:rsidP="009B3919">
      <w:pPr>
        <w:jc w:val="right"/>
        <w:rPr>
          <w:rFonts w:ascii="Arial" w:hAnsi="Arial" w:cs="Arial"/>
          <w:bCs/>
          <w:szCs w:val="24"/>
        </w:rPr>
      </w:pPr>
      <w:r w:rsidRPr="009F73AF">
        <w:rPr>
          <w:rFonts w:ascii="Arial" w:hAnsi="Arial" w:cs="Arial"/>
          <w:bCs/>
          <w:szCs w:val="24"/>
        </w:rPr>
        <w:t xml:space="preserve">Příloha </w:t>
      </w:r>
      <w:r w:rsidR="006A4B15">
        <w:rPr>
          <w:rFonts w:ascii="Arial" w:hAnsi="Arial" w:cs="Arial"/>
          <w:bCs/>
          <w:szCs w:val="24"/>
        </w:rPr>
        <w:t>4</w:t>
      </w:r>
      <w:r w:rsidR="006827E2">
        <w:rPr>
          <w:rFonts w:ascii="Arial" w:hAnsi="Arial" w:cs="Arial"/>
          <w:bCs/>
          <w:szCs w:val="24"/>
        </w:rPr>
        <w:t xml:space="preserve"> </w:t>
      </w:r>
      <w:r w:rsidR="009B3919">
        <w:rPr>
          <w:rFonts w:ascii="Arial" w:hAnsi="Arial" w:cs="Arial"/>
          <w:bCs/>
          <w:szCs w:val="24"/>
        </w:rPr>
        <w:t>–</w:t>
      </w:r>
      <w:r w:rsidR="006827E2">
        <w:rPr>
          <w:rFonts w:ascii="Arial" w:hAnsi="Arial" w:cs="Arial"/>
          <w:bCs/>
          <w:szCs w:val="24"/>
        </w:rPr>
        <w:t xml:space="preserve"> </w:t>
      </w:r>
      <w:r w:rsidRPr="009F73AF">
        <w:rPr>
          <w:rFonts w:ascii="Arial" w:hAnsi="Arial" w:cs="Arial"/>
          <w:bCs/>
          <w:szCs w:val="24"/>
        </w:rPr>
        <w:t>Indikátory</w:t>
      </w:r>
      <w:r w:rsidR="009B3919">
        <w:rPr>
          <w:rFonts w:ascii="Arial" w:hAnsi="Arial" w:cs="Arial"/>
          <w:bCs/>
          <w:szCs w:val="24"/>
        </w:rPr>
        <w:t xml:space="preserve"> </w:t>
      </w:r>
    </w:p>
    <w:p w14:paraId="049ED83D" w14:textId="073A8CE5" w:rsidR="00DE553A" w:rsidRPr="006A4B15" w:rsidRDefault="00DE553A" w:rsidP="007034C6">
      <w:pPr>
        <w:rPr>
          <w:rFonts w:ascii="Arial" w:hAnsi="Arial" w:cs="Arial"/>
          <w:b/>
          <w:bCs/>
          <w:color w:val="70AD47" w:themeColor="accent6"/>
          <w:sz w:val="28"/>
          <w:szCs w:val="28"/>
        </w:rPr>
      </w:pPr>
      <w:r w:rsidRPr="006A4B15">
        <w:rPr>
          <w:rFonts w:ascii="Arial" w:hAnsi="Arial" w:cs="Arial"/>
          <w:b/>
          <w:bCs/>
          <w:color w:val="70AD47" w:themeColor="accent6"/>
          <w:sz w:val="28"/>
          <w:szCs w:val="28"/>
        </w:rPr>
        <w:t>Indikátory</w:t>
      </w:r>
    </w:p>
    <w:p w14:paraId="5CDA599A" w14:textId="0DCA3A42" w:rsidR="00DE553A" w:rsidRPr="00597AFE" w:rsidRDefault="00DE553A" w:rsidP="00C01511">
      <w:pPr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Jedním ze způsobů, jak </w:t>
      </w:r>
      <w:r w:rsidR="002572DF" w:rsidRPr="00597AFE">
        <w:rPr>
          <w:rFonts w:ascii="Arial" w:hAnsi="Arial" w:cs="Arial"/>
          <w:sz w:val="20"/>
          <w:szCs w:val="20"/>
        </w:rPr>
        <w:t xml:space="preserve">je </w:t>
      </w:r>
      <w:r w:rsidRPr="00597AFE">
        <w:rPr>
          <w:rFonts w:ascii="Arial" w:hAnsi="Arial" w:cs="Arial"/>
          <w:sz w:val="20"/>
          <w:szCs w:val="20"/>
        </w:rPr>
        <w:t>sled</w:t>
      </w:r>
      <w:r w:rsidR="002572DF" w:rsidRPr="00597AFE">
        <w:rPr>
          <w:rFonts w:ascii="Arial" w:hAnsi="Arial" w:cs="Arial"/>
          <w:sz w:val="20"/>
          <w:szCs w:val="20"/>
        </w:rPr>
        <w:t xml:space="preserve">ována účinnost jednotlivých opatření </w:t>
      </w:r>
      <w:r w:rsidRPr="00597AFE">
        <w:rPr>
          <w:rFonts w:ascii="Arial" w:hAnsi="Arial" w:cs="Arial"/>
          <w:sz w:val="20"/>
          <w:szCs w:val="20"/>
        </w:rPr>
        <w:t>akční</w:t>
      </w:r>
      <w:r w:rsidR="00042616">
        <w:rPr>
          <w:rFonts w:ascii="Arial" w:hAnsi="Arial" w:cs="Arial"/>
          <w:sz w:val="20"/>
          <w:szCs w:val="20"/>
        </w:rPr>
        <w:t>ch</w:t>
      </w:r>
      <w:r w:rsidRPr="00597AFE">
        <w:rPr>
          <w:rFonts w:ascii="Arial" w:hAnsi="Arial" w:cs="Arial"/>
          <w:sz w:val="20"/>
          <w:szCs w:val="20"/>
        </w:rPr>
        <w:t xml:space="preserve"> plán</w:t>
      </w:r>
      <w:r w:rsidR="00042616">
        <w:rPr>
          <w:rFonts w:ascii="Arial" w:hAnsi="Arial" w:cs="Arial"/>
          <w:sz w:val="20"/>
          <w:szCs w:val="20"/>
        </w:rPr>
        <w:t>ů</w:t>
      </w:r>
      <w:r w:rsidR="002572DF" w:rsidRPr="00597AFE">
        <w:rPr>
          <w:rFonts w:ascii="Arial" w:hAnsi="Arial" w:cs="Arial"/>
          <w:sz w:val="20"/>
          <w:szCs w:val="20"/>
        </w:rPr>
        <w:t xml:space="preserve">, </w:t>
      </w:r>
      <w:r w:rsidRPr="00597AFE">
        <w:rPr>
          <w:rFonts w:ascii="Arial" w:hAnsi="Arial" w:cs="Arial"/>
          <w:sz w:val="20"/>
          <w:szCs w:val="20"/>
        </w:rPr>
        <w:t xml:space="preserve">je </w:t>
      </w:r>
      <w:r w:rsidR="002572DF" w:rsidRPr="00597AFE">
        <w:rPr>
          <w:rFonts w:ascii="Arial" w:hAnsi="Arial" w:cs="Arial"/>
          <w:sz w:val="20"/>
          <w:szCs w:val="20"/>
        </w:rPr>
        <w:t xml:space="preserve">využití </w:t>
      </w:r>
      <w:r w:rsidRPr="00597AFE">
        <w:rPr>
          <w:rFonts w:ascii="Arial" w:hAnsi="Arial" w:cs="Arial"/>
          <w:sz w:val="20"/>
          <w:szCs w:val="20"/>
        </w:rPr>
        <w:t xml:space="preserve">tzv. </w:t>
      </w:r>
      <w:r w:rsidRPr="00864122">
        <w:rPr>
          <w:rFonts w:ascii="Arial" w:hAnsi="Arial" w:cs="Arial"/>
          <w:b/>
          <w:bCs/>
          <w:sz w:val="20"/>
          <w:szCs w:val="20"/>
        </w:rPr>
        <w:t>indikátorů</w:t>
      </w:r>
      <w:r w:rsidR="002572DF" w:rsidRPr="00597AFE">
        <w:rPr>
          <w:rFonts w:ascii="Arial" w:hAnsi="Arial" w:cs="Arial"/>
          <w:sz w:val="20"/>
          <w:szCs w:val="20"/>
        </w:rPr>
        <w:t>. Část z nich je definována přímo v</w:t>
      </w:r>
      <w:r w:rsidR="00042616">
        <w:rPr>
          <w:rFonts w:ascii="Arial" w:hAnsi="Arial" w:cs="Arial"/>
          <w:sz w:val="20"/>
          <w:szCs w:val="20"/>
        </w:rPr>
        <w:t xml:space="preserve"> konkrétním </w:t>
      </w:r>
      <w:r w:rsidR="002572DF" w:rsidRPr="00597AFE">
        <w:rPr>
          <w:rFonts w:ascii="Arial" w:hAnsi="Arial" w:cs="Arial"/>
          <w:sz w:val="20"/>
          <w:szCs w:val="20"/>
        </w:rPr>
        <w:t>Akčním plánu</w:t>
      </w:r>
      <w:r w:rsidR="00042616">
        <w:rPr>
          <w:rFonts w:ascii="Arial" w:hAnsi="Arial" w:cs="Arial"/>
          <w:sz w:val="20"/>
          <w:szCs w:val="20"/>
        </w:rPr>
        <w:t xml:space="preserve"> (dále jen „AP“)</w:t>
      </w:r>
      <w:r w:rsidR="002572DF" w:rsidRPr="00597AFE">
        <w:rPr>
          <w:rFonts w:ascii="Arial" w:hAnsi="Arial" w:cs="Arial"/>
          <w:sz w:val="20"/>
          <w:szCs w:val="20"/>
        </w:rPr>
        <w:t>, ale využity jsou i další</w:t>
      </w:r>
      <w:r w:rsidR="00F51F41">
        <w:rPr>
          <w:rFonts w:ascii="Arial" w:hAnsi="Arial" w:cs="Arial"/>
          <w:sz w:val="20"/>
          <w:szCs w:val="20"/>
        </w:rPr>
        <w:t xml:space="preserve"> ukazatele</w:t>
      </w:r>
      <w:r w:rsidR="002572DF" w:rsidRPr="00597AFE">
        <w:rPr>
          <w:rFonts w:ascii="Arial" w:hAnsi="Arial" w:cs="Arial"/>
          <w:sz w:val="20"/>
          <w:szCs w:val="20"/>
        </w:rPr>
        <w:t>, které vyplývají z jednotlivých projektů a dotačních programů</w:t>
      </w:r>
      <w:r w:rsidR="00F51F41">
        <w:rPr>
          <w:rFonts w:ascii="Arial" w:hAnsi="Arial" w:cs="Arial"/>
          <w:sz w:val="20"/>
          <w:szCs w:val="20"/>
        </w:rPr>
        <w:t xml:space="preserve">, </w:t>
      </w:r>
      <w:r w:rsidR="002572DF" w:rsidRPr="00597AFE">
        <w:rPr>
          <w:rFonts w:ascii="Arial" w:hAnsi="Arial" w:cs="Arial"/>
          <w:sz w:val="20"/>
          <w:szCs w:val="20"/>
        </w:rPr>
        <w:t xml:space="preserve"> a jsou tak lépe sledovatelné.</w:t>
      </w:r>
      <w:r w:rsidR="00653A3B" w:rsidRPr="00597AFE">
        <w:rPr>
          <w:rFonts w:ascii="Arial" w:hAnsi="Arial" w:cs="Arial"/>
          <w:sz w:val="20"/>
          <w:szCs w:val="20"/>
        </w:rPr>
        <w:t xml:space="preserve"> Níže uváděné hodnoty vycházejí z projektů již realizovaných,</w:t>
      </w:r>
      <w:r w:rsidR="00EF0ED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>kde jsou známa konkrétní data. Ř</w:t>
      </w:r>
      <w:r w:rsidR="00653A3B" w:rsidRPr="00597AFE">
        <w:rPr>
          <w:rFonts w:ascii="Arial" w:hAnsi="Arial" w:cs="Arial"/>
          <w:sz w:val="20"/>
          <w:szCs w:val="20"/>
        </w:rPr>
        <w:t>ada dalších</w:t>
      </w:r>
      <w:r w:rsidR="00A37838" w:rsidRPr="00597AFE">
        <w:rPr>
          <w:rFonts w:ascii="Arial" w:hAnsi="Arial" w:cs="Arial"/>
          <w:sz w:val="20"/>
          <w:szCs w:val="20"/>
        </w:rPr>
        <w:t xml:space="preserve"> projektů</w:t>
      </w:r>
      <w:r w:rsidR="00653A3B" w:rsidRPr="00597AF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>se nachází v </w:t>
      </w:r>
      <w:r w:rsidR="00653A3B" w:rsidRPr="00597AFE">
        <w:rPr>
          <w:rFonts w:ascii="Arial" w:hAnsi="Arial" w:cs="Arial"/>
          <w:sz w:val="20"/>
          <w:szCs w:val="20"/>
        </w:rPr>
        <w:t xml:space="preserve">procesu realizace či </w:t>
      </w:r>
      <w:r w:rsidR="00C01511" w:rsidRPr="00597AFE">
        <w:rPr>
          <w:rFonts w:ascii="Arial" w:hAnsi="Arial" w:cs="Arial"/>
          <w:sz w:val="20"/>
          <w:szCs w:val="20"/>
        </w:rPr>
        <w:t xml:space="preserve">u nich </w:t>
      </w:r>
      <w:r w:rsidR="00653A3B" w:rsidRPr="00597AFE">
        <w:rPr>
          <w:rFonts w:ascii="Arial" w:hAnsi="Arial" w:cs="Arial"/>
          <w:sz w:val="20"/>
          <w:szCs w:val="20"/>
        </w:rPr>
        <w:t xml:space="preserve">data </w:t>
      </w:r>
      <w:r w:rsidR="00C01511" w:rsidRPr="00597AFE">
        <w:rPr>
          <w:rFonts w:ascii="Arial" w:hAnsi="Arial" w:cs="Arial"/>
          <w:sz w:val="20"/>
          <w:szCs w:val="20"/>
        </w:rPr>
        <w:t>zatím nejso</w:t>
      </w:r>
      <w:r w:rsidR="00F82E53" w:rsidRPr="00597AFE">
        <w:rPr>
          <w:rFonts w:ascii="Arial" w:hAnsi="Arial" w:cs="Arial"/>
          <w:sz w:val="20"/>
          <w:szCs w:val="20"/>
        </w:rPr>
        <w:t>u k</w:t>
      </w:r>
      <w:r w:rsidR="00C01511" w:rsidRPr="00597AFE">
        <w:rPr>
          <w:rFonts w:ascii="Arial" w:hAnsi="Arial" w:cs="Arial"/>
          <w:sz w:val="20"/>
          <w:szCs w:val="20"/>
        </w:rPr>
        <w:t xml:space="preserve"> </w:t>
      </w:r>
      <w:r w:rsidR="00653A3B" w:rsidRPr="00597AFE">
        <w:rPr>
          <w:rFonts w:ascii="Arial" w:hAnsi="Arial" w:cs="Arial"/>
          <w:sz w:val="20"/>
          <w:szCs w:val="20"/>
        </w:rPr>
        <w:t>dispozici</w:t>
      </w:r>
      <w:r w:rsidR="00C01511" w:rsidRPr="00597AFE">
        <w:rPr>
          <w:rFonts w:ascii="Arial" w:hAnsi="Arial" w:cs="Arial"/>
          <w:sz w:val="20"/>
          <w:szCs w:val="20"/>
        </w:rPr>
        <w:t xml:space="preserve">. Hodnoty </w:t>
      </w:r>
      <w:r w:rsidR="00CE75EF">
        <w:rPr>
          <w:rFonts w:ascii="Arial" w:hAnsi="Arial" w:cs="Arial"/>
          <w:sz w:val="20"/>
          <w:szCs w:val="20"/>
        </w:rPr>
        <w:t xml:space="preserve">jsou tak </w:t>
      </w:r>
      <w:r w:rsidR="00C01511" w:rsidRPr="00597AFE">
        <w:rPr>
          <w:rFonts w:ascii="Arial" w:hAnsi="Arial" w:cs="Arial"/>
          <w:sz w:val="20"/>
          <w:szCs w:val="20"/>
        </w:rPr>
        <w:t>průběžně aktualizov</w:t>
      </w:r>
      <w:r w:rsidR="00CE75EF">
        <w:rPr>
          <w:rFonts w:ascii="Arial" w:hAnsi="Arial" w:cs="Arial"/>
          <w:sz w:val="20"/>
          <w:szCs w:val="20"/>
        </w:rPr>
        <w:t>ány</w:t>
      </w:r>
      <w:r w:rsidR="00C01511" w:rsidRPr="00597AFE">
        <w:rPr>
          <w:rFonts w:ascii="Arial" w:hAnsi="Arial" w:cs="Arial"/>
          <w:sz w:val="20"/>
          <w:szCs w:val="20"/>
        </w:rPr>
        <w:t>.</w:t>
      </w:r>
      <w:r w:rsidR="00515F2B" w:rsidRPr="00597AFE">
        <w:rPr>
          <w:rFonts w:ascii="Arial" w:hAnsi="Arial" w:cs="Arial"/>
          <w:sz w:val="20"/>
          <w:szCs w:val="20"/>
        </w:rPr>
        <w:t xml:space="preserve"> Indikátory </w:t>
      </w:r>
      <w:r w:rsidR="00377A6C" w:rsidRPr="00597AFE">
        <w:rPr>
          <w:rFonts w:ascii="Arial" w:hAnsi="Arial" w:cs="Arial"/>
          <w:sz w:val="20"/>
          <w:szCs w:val="20"/>
        </w:rPr>
        <w:t xml:space="preserve">jsou vykazovány souhrnně i zvlášť za jednotlivé </w:t>
      </w:r>
      <w:r w:rsidR="00515F2B" w:rsidRPr="00597AFE">
        <w:rPr>
          <w:rFonts w:ascii="Arial" w:hAnsi="Arial" w:cs="Arial"/>
          <w:sz w:val="20"/>
          <w:szCs w:val="20"/>
        </w:rPr>
        <w:t xml:space="preserve">regiony </w:t>
      </w:r>
      <w:r w:rsidR="00F82E53" w:rsidRPr="00597AFE">
        <w:rPr>
          <w:rFonts w:ascii="Arial" w:hAnsi="Arial" w:cs="Arial"/>
          <w:sz w:val="20"/>
          <w:szCs w:val="20"/>
        </w:rPr>
        <w:t>(</w:t>
      </w:r>
      <w:r w:rsidR="00515F2B" w:rsidRPr="00597AFE">
        <w:rPr>
          <w:rFonts w:ascii="Arial" w:hAnsi="Arial" w:cs="Arial"/>
          <w:sz w:val="20"/>
          <w:szCs w:val="20"/>
        </w:rPr>
        <w:t>ÚK</w:t>
      </w:r>
      <w:r w:rsidR="00042616">
        <w:rPr>
          <w:rFonts w:ascii="Arial" w:hAnsi="Arial" w:cs="Arial"/>
          <w:sz w:val="20"/>
          <w:szCs w:val="20"/>
        </w:rPr>
        <w:t xml:space="preserve"> – Ústecký kraj</w:t>
      </w:r>
      <w:r w:rsidR="00515F2B" w:rsidRPr="00597AFE">
        <w:rPr>
          <w:rFonts w:ascii="Arial" w:hAnsi="Arial" w:cs="Arial"/>
          <w:sz w:val="20"/>
          <w:szCs w:val="20"/>
        </w:rPr>
        <w:t>, MS</w:t>
      </w:r>
      <w:r w:rsidR="00A37838" w:rsidRPr="00597AFE">
        <w:rPr>
          <w:rFonts w:ascii="Arial" w:hAnsi="Arial" w:cs="Arial"/>
          <w:sz w:val="20"/>
          <w:szCs w:val="20"/>
        </w:rPr>
        <w:t>K</w:t>
      </w:r>
      <w:r w:rsidR="00042616">
        <w:rPr>
          <w:rFonts w:ascii="Arial" w:hAnsi="Arial" w:cs="Arial"/>
          <w:sz w:val="20"/>
          <w:szCs w:val="20"/>
        </w:rPr>
        <w:t xml:space="preserve"> – Moravskoslezský kraj a KVK – </w:t>
      </w:r>
      <w:r w:rsidR="00F51F41">
        <w:rPr>
          <w:rFonts w:ascii="Arial" w:hAnsi="Arial" w:cs="Arial"/>
          <w:sz w:val="20"/>
          <w:szCs w:val="20"/>
        </w:rPr>
        <w:t>K</w:t>
      </w:r>
      <w:r w:rsidR="00042616">
        <w:rPr>
          <w:rFonts w:ascii="Arial" w:hAnsi="Arial" w:cs="Arial"/>
          <w:sz w:val="20"/>
          <w:szCs w:val="20"/>
        </w:rPr>
        <w:t>arlovarský kraj</w:t>
      </w:r>
      <w:r w:rsidR="00F82E53" w:rsidRPr="00597AFE">
        <w:rPr>
          <w:rFonts w:ascii="Arial" w:hAnsi="Arial" w:cs="Arial"/>
          <w:sz w:val="20"/>
          <w:szCs w:val="20"/>
        </w:rPr>
        <w:t>) a vycházejí z projektů realizovaných</w:t>
      </w:r>
      <w:r w:rsidR="00377A6C" w:rsidRPr="00597AFE">
        <w:rPr>
          <w:rFonts w:ascii="Arial" w:hAnsi="Arial" w:cs="Arial"/>
          <w:sz w:val="20"/>
          <w:szCs w:val="20"/>
        </w:rPr>
        <w:t xml:space="preserve"> z</w:t>
      </w:r>
      <w:r w:rsidR="00042616">
        <w:rPr>
          <w:rFonts w:ascii="Arial" w:hAnsi="Arial" w:cs="Arial"/>
          <w:sz w:val="20"/>
          <w:szCs w:val="20"/>
        </w:rPr>
        <w:t xml:space="preserve"> dotačních </w:t>
      </w:r>
      <w:r w:rsidR="00377A6C" w:rsidRPr="00597AFE">
        <w:rPr>
          <w:rFonts w:ascii="Arial" w:hAnsi="Arial" w:cs="Arial"/>
          <w:sz w:val="20"/>
          <w:szCs w:val="20"/>
        </w:rPr>
        <w:t>výzev vyhlašovaných</w:t>
      </w:r>
      <w:r w:rsidR="00F82E53" w:rsidRPr="00597AFE">
        <w:rPr>
          <w:rFonts w:ascii="Arial" w:hAnsi="Arial" w:cs="Arial"/>
          <w:sz w:val="20"/>
          <w:szCs w:val="20"/>
        </w:rPr>
        <w:t xml:space="preserve"> od roku 2016.</w:t>
      </w:r>
    </w:p>
    <w:p w14:paraId="4E3A6E50" w14:textId="096A5835" w:rsidR="00377A6C" w:rsidRPr="008D0711" w:rsidRDefault="00377A6C" w:rsidP="00597AFE">
      <w:pPr>
        <w:pStyle w:val="Nadpis1"/>
        <w:rPr>
          <w:b/>
          <w:bCs/>
          <w:sz w:val="28"/>
          <w:szCs w:val="28"/>
        </w:rPr>
      </w:pPr>
      <w:r w:rsidRPr="008D0711">
        <w:rPr>
          <w:b/>
          <w:bCs/>
          <w:sz w:val="28"/>
          <w:szCs w:val="28"/>
        </w:rPr>
        <w:t>Přehled výchozích projektů v</w:t>
      </w:r>
      <w:r w:rsidR="00225A8C" w:rsidRPr="008D0711">
        <w:rPr>
          <w:b/>
          <w:bCs/>
          <w:sz w:val="28"/>
          <w:szCs w:val="28"/>
        </w:rPr>
        <w:t> </w:t>
      </w:r>
      <w:r w:rsidRPr="008D0711">
        <w:rPr>
          <w:b/>
          <w:bCs/>
          <w:sz w:val="28"/>
          <w:szCs w:val="28"/>
        </w:rPr>
        <w:t>číslech</w:t>
      </w:r>
    </w:p>
    <w:p w14:paraId="182973EE" w14:textId="77777777" w:rsidR="00225A8C" w:rsidRPr="00225A8C" w:rsidRDefault="00225A8C" w:rsidP="00225A8C"/>
    <w:tbl>
      <w:tblPr>
        <w:tblStyle w:val="Tabulkaseznamu3zvraznn6"/>
        <w:tblW w:w="5921" w:type="dxa"/>
        <w:tblLook w:val="04A0" w:firstRow="1" w:lastRow="0" w:firstColumn="1" w:lastColumn="0" w:noHBand="0" w:noVBand="1"/>
      </w:tblPr>
      <w:tblGrid>
        <w:gridCol w:w="4985"/>
        <w:gridCol w:w="936"/>
      </w:tblGrid>
      <w:tr w:rsidR="007657F3" w:rsidRPr="00550EB4" w14:paraId="46DE2577" w14:textId="54AE8500" w:rsidTr="00D22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85" w:type="dxa"/>
          </w:tcPr>
          <w:p w14:paraId="32A6CCC1" w14:textId="77777777" w:rsidR="007657F3" w:rsidRPr="00550EB4" w:rsidRDefault="007657F3" w:rsidP="007657F3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realizovaných/evidovaných projektů</w:t>
            </w:r>
          </w:p>
        </w:tc>
        <w:tc>
          <w:tcPr>
            <w:tcW w:w="936" w:type="dxa"/>
          </w:tcPr>
          <w:p w14:paraId="4409CBD9" w14:textId="71DC861B" w:rsidR="007657F3" w:rsidRPr="00550EB4" w:rsidRDefault="007657F3" w:rsidP="00225A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3</w:t>
            </w:r>
            <w:r w:rsidR="003A5E75">
              <w:rPr>
                <w:rFonts w:ascii="Arial" w:hAnsi="Arial" w:cs="Arial"/>
                <w:sz w:val="20"/>
                <w:szCs w:val="20"/>
              </w:rPr>
              <w:t>4</w:t>
            </w:r>
            <w:r w:rsidR="00BE75D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657F3" w:rsidRPr="00225A8C" w14:paraId="1B76C50D" w14:textId="42642BC2" w:rsidTr="00D22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535013B5" w14:textId="77777777" w:rsidR="007657F3" w:rsidRPr="00225A8C" w:rsidRDefault="007657F3" w:rsidP="007657F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936" w:type="dxa"/>
          </w:tcPr>
          <w:p w14:paraId="4210D98D" w14:textId="27AF501D" w:rsidR="007657F3" w:rsidRPr="00225A8C" w:rsidRDefault="007657F3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</w:t>
            </w:r>
            <w:r w:rsidR="00F51F41">
              <w:rPr>
                <w:rFonts w:ascii="Arial" w:hAnsi="Arial" w:cs="Arial"/>
                <w:sz w:val="20"/>
                <w:szCs w:val="20"/>
              </w:rPr>
              <w:t>4</w:t>
            </w:r>
            <w:r w:rsidR="00BE75D5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657F3" w:rsidRPr="00225A8C" w14:paraId="0A69BE1C" w14:textId="45F3F6A2" w:rsidTr="00D22AE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36723A7F" w14:textId="23CFA73B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936" w:type="dxa"/>
          </w:tcPr>
          <w:p w14:paraId="573AEB82" w14:textId="766B569D" w:rsidR="007657F3" w:rsidRPr="00225A8C" w:rsidRDefault="007657F3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</w:t>
            </w:r>
            <w:r w:rsidR="00CE75EF">
              <w:rPr>
                <w:rFonts w:ascii="Arial" w:hAnsi="Arial" w:cs="Arial"/>
                <w:sz w:val="20"/>
                <w:szCs w:val="20"/>
              </w:rPr>
              <w:t>5</w:t>
            </w:r>
            <w:r w:rsidR="00D9353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657F3" w:rsidRPr="00225A8C" w14:paraId="0EE0031B" w14:textId="2670F093" w:rsidTr="00D22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15AEF085" w14:textId="76B45F85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936" w:type="dxa"/>
          </w:tcPr>
          <w:p w14:paraId="734DE891" w14:textId="3A27EB84" w:rsidR="007657F3" w:rsidRPr="00225A8C" w:rsidRDefault="007657F3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4</w:t>
            </w:r>
            <w:r w:rsidR="00CE75E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657F3" w:rsidRPr="00225A8C" w14:paraId="74B1D662" w14:textId="680F842B" w:rsidTr="00D22AE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42E3E32C" w14:textId="1AF32E63" w:rsidR="007657F3" w:rsidRPr="00550EB4" w:rsidRDefault="007657F3" w:rsidP="007657F3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projektů v</w:t>
            </w:r>
            <w:r w:rsidR="00CE75EF">
              <w:rPr>
                <w:rFonts w:ascii="Arial" w:hAnsi="Arial" w:cs="Arial"/>
                <w:sz w:val="20"/>
                <w:szCs w:val="20"/>
              </w:rPr>
              <w:t>e fázi</w:t>
            </w:r>
            <w:r w:rsidRPr="00550EB4">
              <w:rPr>
                <w:rFonts w:ascii="Arial" w:hAnsi="Arial" w:cs="Arial"/>
                <w:sz w:val="20"/>
                <w:szCs w:val="20"/>
              </w:rPr>
              <w:t xml:space="preserve"> realizac</w:t>
            </w:r>
            <w:r w:rsidR="00D62ABB">
              <w:rPr>
                <w:rFonts w:ascii="Arial" w:hAnsi="Arial" w:cs="Arial"/>
                <w:sz w:val="20"/>
                <w:szCs w:val="20"/>
              </w:rPr>
              <w:t>e</w:t>
            </w:r>
            <w:r w:rsidR="00F51F41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36" w:type="dxa"/>
          </w:tcPr>
          <w:p w14:paraId="3B8EE9F3" w14:textId="4217EA18" w:rsidR="007657F3" w:rsidRPr="00225A8C" w:rsidRDefault="00F51F41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  <w:r w:rsidR="00BE75D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7657F3" w:rsidRPr="00225A8C" w14:paraId="6EF9E67E" w14:textId="0DF2FF9E" w:rsidTr="00703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657A55E6" w14:textId="77777777" w:rsidR="007657F3" w:rsidRPr="00225A8C" w:rsidRDefault="007657F3" w:rsidP="007657F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936" w:type="dxa"/>
          </w:tcPr>
          <w:p w14:paraId="213E52C4" w14:textId="4E8F3CCF" w:rsidR="007657F3" w:rsidRPr="00225A8C" w:rsidRDefault="00F51F41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BE75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657F3" w:rsidRPr="00225A8C" w14:paraId="70F0656E" w14:textId="2F64DBDE" w:rsidTr="007034C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040C5FF2" w14:textId="395AF26A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936" w:type="dxa"/>
          </w:tcPr>
          <w:p w14:paraId="69C9773E" w14:textId="310DD6F5" w:rsidR="007657F3" w:rsidRPr="00225A8C" w:rsidRDefault="00F51F41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BE75D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657F3" w:rsidRPr="00225A8C" w14:paraId="562F00B6" w14:textId="191F5E7D" w:rsidTr="00703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517019FB" w14:textId="6CC27F1E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936" w:type="dxa"/>
          </w:tcPr>
          <w:p w14:paraId="54A1971C" w14:textId="4C0EFF59" w:rsidR="007657F3" w:rsidRPr="00225A8C" w:rsidRDefault="00F51F41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7657F3" w:rsidRPr="00225A8C" w14:paraId="204A8C36" w14:textId="11384C69" w:rsidTr="00D22AE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643B2367" w14:textId="4FBA776E" w:rsidR="007657F3" w:rsidRPr="00550EB4" w:rsidRDefault="007657F3" w:rsidP="007657F3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nerealizovaných projektů*</w:t>
            </w:r>
            <w:r w:rsidR="00F51F41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36" w:type="dxa"/>
          </w:tcPr>
          <w:p w14:paraId="4BCA05BA" w14:textId="1FCDB041" w:rsidR="007657F3" w:rsidRPr="00225A8C" w:rsidRDefault="007657F3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CE75E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7657F3" w:rsidRPr="00225A8C" w14:paraId="03767C85" w14:textId="195C7626" w:rsidTr="00703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66F1ACB6" w14:textId="77777777" w:rsidR="007657F3" w:rsidRPr="00225A8C" w:rsidRDefault="007657F3" w:rsidP="007657F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936" w:type="dxa"/>
          </w:tcPr>
          <w:p w14:paraId="607BABB1" w14:textId="6BA2F30F" w:rsidR="007657F3" w:rsidRPr="00225A8C" w:rsidRDefault="00CE75EF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657F3" w:rsidRPr="00225A8C" w14:paraId="020EE05C" w14:textId="17856572" w:rsidTr="007034C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7393BE46" w14:textId="17D4E53C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936" w:type="dxa"/>
          </w:tcPr>
          <w:p w14:paraId="05F779F8" w14:textId="4FF8F75E" w:rsidR="007657F3" w:rsidRPr="00225A8C" w:rsidRDefault="007657F3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</w:t>
            </w:r>
            <w:r w:rsidR="00095F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657F3" w:rsidRPr="00225A8C" w14:paraId="3A2924C4" w14:textId="5A7F0116" w:rsidTr="00703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0FC1E4EB" w14:textId="6EAD46A5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936" w:type="dxa"/>
          </w:tcPr>
          <w:p w14:paraId="1C77C765" w14:textId="7DEAAAC8" w:rsidR="007657F3" w:rsidRPr="00225A8C" w:rsidRDefault="007657F3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657F3" w:rsidRPr="00225A8C" w14:paraId="13A4832D" w14:textId="41CFA674" w:rsidTr="007034C6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57743A16" w14:textId="2216697F" w:rsidR="007657F3" w:rsidRPr="00550EB4" w:rsidRDefault="007657F3" w:rsidP="007657F3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projektů bez zpětné vazby o</w:t>
            </w:r>
            <w:r w:rsidR="00F51F41"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Pr="00550EB4">
              <w:rPr>
                <w:rFonts w:ascii="Arial" w:hAnsi="Arial" w:cs="Arial"/>
                <w:sz w:val="20"/>
                <w:szCs w:val="20"/>
              </w:rPr>
              <w:t>žadatele**</w:t>
            </w:r>
            <w:r w:rsidR="00F51F41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936" w:type="dxa"/>
          </w:tcPr>
          <w:p w14:paraId="20E53164" w14:textId="4CDAEF06" w:rsidR="007657F3" w:rsidRPr="00225A8C" w:rsidRDefault="00BF396A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E75E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7657F3" w:rsidRPr="00225A8C" w14:paraId="58053CDC" w14:textId="45B5598A" w:rsidTr="00703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29491184" w14:textId="77777777" w:rsidR="007657F3" w:rsidRPr="00225A8C" w:rsidRDefault="007657F3" w:rsidP="007657F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936" w:type="dxa"/>
          </w:tcPr>
          <w:p w14:paraId="7331C952" w14:textId="27169461" w:rsidR="007657F3" w:rsidRPr="00225A8C" w:rsidRDefault="00CE75EF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7657F3" w:rsidRPr="00225A8C" w14:paraId="077ACF63" w14:textId="13CF524C" w:rsidTr="007034C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5BFC9751" w14:textId="1EDAF3BA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936" w:type="dxa"/>
          </w:tcPr>
          <w:p w14:paraId="0445DEA3" w14:textId="481870F6" w:rsidR="007657F3" w:rsidRPr="00225A8C" w:rsidRDefault="00CE75EF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657F3" w:rsidRPr="00597AFE" w14:paraId="7544BC93" w14:textId="366A2CB6" w:rsidTr="00703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5" w:type="dxa"/>
          </w:tcPr>
          <w:p w14:paraId="0D72B6F9" w14:textId="5EC8C8E6" w:rsidR="007657F3" w:rsidRPr="00225A8C" w:rsidRDefault="007657F3" w:rsidP="007657F3">
            <w:pPr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936" w:type="dxa"/>
          </w:tcPr>
          <w:p w14:paraId="04E2362B" w14:textId="135C2BDC" w:rsidR="007657F3" w:rsidRPr="009E415F" w:rsidRDefault="00CE75EF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69035301" w14:textId="4D71F27A" w:rsidR="0018454D" w:rsidRDefault="0018454D" w:rsidP="00C01511">
      <w:pPr>
        <w:jc w:val="both"/>
        <w:rPr>
          <w:rFonts w:ascii="Arial" w:hAnsi="Arial" w:cs="Arial"/>
          <w:sz w:val="20"/>
          <w:szCs w:val="20"/>
        </w:rPr>
      </w:pPr>
    </w:p>
    <w:p w14:paraId="0DCD3CE0" w14:textId="7CCC0DD8" w:rsidR="00F51F41" w:rsidRPr="00597AFE" w:rsidRDefault="00F51F41" w:rsidP="00C0151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projekty,</w:t>
      </w:r>
      <w:r w:rsidR="00D22A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 fázi před realizací nebo ve fázi realizace</w:t>
      </w:r>
      <w:r w:rsidR="00D22AE6">
        <w:rPr>
          <w:rFonts w:ascii="Arial" w:hAnsi="Arial" w:cs="Arial"/>
          <w:sz w:val="20"/>
          <w:szCs w:val="20"/>
        </w:rPr>
        <w:t>, indikátory jsou průběžně doplňovány po realizaci projektů;</w:t>
      </w:r>
    </w:p>
    <w:p w14:paraId="3F943417" w14:textId="32702D3F" w:rsidR="00377A6C" w:rsidRPr="00597AFE" w:rsidRDefault="0018454D" w:rsidP="00C01511">
      <w:pPr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*</w:t>
      </w:r>
      <w:r w:rsidR="00F51F41">
        <w:rPr>
          <w:rFonts w:ascii="Arial" w:hAnsi="Arial" w:cs="Arial"/>
          <w:sz w:val="20"/>
          <w:szCs w:val="20"/>
        </w:rPr>
        <w:t>*</w:t>
      </w:r>
      <w:r w:rsidR="00840F60" w:rsidRPr="00597AFE">
        <w:rPr>
          <w:rFonts w:ascii="Arial" w:hAnsi="Arial" w:cs="Arial"/>
          <w:sz w:val="20"/>
          <w:szCs w:val="20"/>
        </w:rPr>
        <w:t xml:space="preserve"> přestože byla přidělena dotace, projekt nebyl žadatelem realizová</w:t>
      </w:r>
      <w:r w:rsidR="0092004D" w:rsidRPr="00597AFE">
        <w:rPr>
          <w:rFonts w:ascii="Arial" w:hAnsi="Arial" w:cs="Arial"/>
          <w:sz w:val="20"/>
          <w:szCs w:val="20"/>
        </w:rPr>
        <w:t>n a dotac</w:t>
      </w:r>
      <w:r w:rsidR="00D22AE6">
        <w:rPr>
          <w:rFonts w:ascii="Arial" w:hAnsi="Arial" w:cs="Arial"/>
          <w:sz w:val="20"/>
          <w:szCs w:val="20"/>
        </w:rPr>
        <w:t>e</w:t>
      </w:r>
      <w:r w:rsidR="0092004D" w:rsidRPr="00597AFE">
        <w:rPr>
          <w:rFonts w:ascii="Arial" w:hAnsi="Arial" w:cs="Arial"/>
          <w:sz w:val="20"/>
          <w:szCs w:val="20"/>
        </w:rPr>
        <w:t xml:space="preserve"> </w:t>
      </w:r>
      <w:r w:rsidR="00D22AE6">
        <w:rPr>
          <w:rFonts w:ascii="Arial" w:hAnsi="Arial" w:cs="Arial"/>
          <w:sz w:val="20"/>
          <w:szCs w:val="20"/>
        </w:rPr>
        <w:t>nebyla čerpána:</w:t>
      </w:r>
      <w:r w:rsidR="0092004D" w:rsidRPr="00597AF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 xml:space="preserve">nejčastějším </w:t>
      </w:r>
      <w:r w:rsidR="0092004D" w:rsidRPr="00597AFE">
        <w:rPr>
          <w:rFonts w:ascii="Arial" w:hAnsi="Arial" w:cs="Arial"/>
          <w:sz w:val="20"/>
          <w:szCs w:val="20"/>
        </w:rPr>
        <w:t>uváděným důvodem byl</w:t>
      </w:r>
      <w:r w:rsidR="00CE75EF">
        <w:rPr>
          <w:rFonts w:ascii="Arial" w:hAnsi="Arial" w:cs="Arial"/>
          <w:sz w:val="20"/>
          <w:szCs w:val="20"/>
        </w:rPr>
        <w:t>y</w:t>
      </w:r>
      <w:r w:rsidR="0092004D" w:rsidRPr="00597AF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>navýšené náklady v mezidobí schválení dotace a zahájení realizace projektu;</w:t>
      </w:r>
      <w:r w:rsidR="0092004D" w:rsidRPr="00597AFE">
        <w:rPr>
          <w:rFonts w:ascii="Arial" w:hAnsi="Arial" w:cs="Arial"/>
          <w:sz w:val="20"/>
          <w:szCs w:val="20"/>
        </w:rPr>
        <w:t xml:space="preserve"> </w:t>
      </w:r>
      <w:r w:rsidR="00CE75EF">
        <w:rPr>
          <w:rFonts w:ascii="Arial" w:hAnsi="Arial" w:cs="Arial"/>
          <w:sz w:val="20"/>
          <w:szCs w:val="20"/>
        </w:rPr>
        <w:t>situace s pandemií Covid19; změna finanční situace žadatele</w:t>
      </w:r>
      <w:r w:rsidR="008312E7">
        <w:rPr>
          <w:rFonts w:ascii="Arial" w:hAnsi="Arial" w:cs="Arial"/>
          <w:sz w:val="20"/>
          <w:szCs w:val="20"/>
        </w:rPr>
        <w:t xml:space="preserve"> či realizace jiného projektu</w:t>
      </w:r>
      <w:r w:rsidR="00D22AE6">
        <w:rPr>
          <w:rFonts w:ascii="Arial" w:hAnsi="Arial" w:cs="Arial"/>
          <w:sz w:val="20"/>
          <w:szCs w:val="20"/>
        </w:rPr>
        <w:t>;</w:t>
      </w:r>
    </w:p>
    <w:p w14:paraId="6E02E53E" w14:textId="3C4C1BF2" w:rsidR="00597AFE" w:rsidRPr="00597AFE" w:rsidRDefault="0018454D" w:rsidP="00C01511">
      <w:pPr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**</w:t>
      </w:r>
      <w:r w:rsidR="00F51F41">
        <w:rPr>
          <w:rFonts w:ascii="Arial" w:hAnsi="Arial" w:cs="Arial"/>
          <w:sz w:val="20"/>
          <w:szCs w:val="20"/>
        </w:rPr>
        <w:t>*</w:t>
      </w:r>
      <w:r w:rsidR="00840F60" w:rsidRPr="00597AFE">
        <w:rPr>
          <w:rFonts w:ascii="Arial" w:hAnsi="Arial" w:cs="Arial"/>
          <w:sz w:val="20"/>
          <w:szCs w:val="20"/>
        </w:rPr>
        <w:t xml:space="preserve"> </w:t>
      </w:r>
      <w:r w:rsidR="003F13BD" w:rsidRPr="00597AFE">
        <w:rPr>
          <w:rFonts w:ascii="Arial" w:hAnsi="Arial" w:cs="Arial"/>
          <w:sz w:val="20"/>
          <w:szCs w:val="20"/>
        </w:rPr>
        <w:t xml:space="preserve">žadatel </w:t>
      </w:r>
      <w:r w:rsidR="006C785C" w:rsidRPr="00597AFE">
        <w:rPr>
          <w:rFonts w:ascii="Arial" w:hAnsi="Arial" w:cs="Arial"/>
          <w:sz w:val="20"/>
          <w:szCs w:val="20"/>
        </w:rPr>
        <w:t xml:space="preserve">(zatím) </w:t>
      </w:r>
      <w:r w:rsidR="003F13BD" w:rsidRPr="00597AFE">
        <w:rPr>
          <w:rFonts w:ascii="Arial" w:hAnsi="Arial" w:cs="Arial"/>
          <w:sz w:val="20"/>
          <w:szCs w:val="20"/>
        </w:rPr>
        <w:t>neúspěšně osloven s žádostí o vyplnění základních informací do tzv. projektové karty</w:t>
      </w:r>
      <w:r w:rsidR="00AF119F" w:rsidRPr="00597AFE">
        <w:rPr>
          <w:rFonts w:ascii="Arial" w:hAnsi="Arial" w:cs="Arial"/>
          <w:sz w:val="20"/>
          <w:szCs w:val="20"/>
        </w:rPr>
        <w:t>; průběžný proces, který bude nadále pokračovat</w:t>
      </w:r>
    </w:p>
    <w:p w14:paraId="710735B2" w14:textId="20CC298E" w:rsidR="001251BA" w:rsidRDefault="00377A6C" w:rsidP="00DE553A">
      <w:pPr>
        <w:pStyle w:val="Nadpis1"/>
        <w:rPr>
          <w:b/>
          <w:bCs/>
          <w:sz w:val="28"/>
          <w:szCs w:val="28"/>
        </w:rPr>
      </w:pPr>
      <w:r w:rsidRPr="00597AFE">
        <w:rPr>
          <w:b/>
          <w:bCs/>
          <w:sz w:val="28"/>
          <w:szCs w:val="28"/>
        </w:rPr>
        <w:t>Indikátory</w:t>
      </w:r>
    </w:p>
    <w:p w14:paraId="5362EE13" w14:textId="77777777" w:rsidR="0035199F" w:rsidRPr="0035199F" w:rsidRDefault="0035199F" w:rsidP="0035199F"/>
    <w:p w14:paraId="5E6D9A54" w14:textId="5DB0FDC3" w:rsidR="001251BA" w:rsidRPr="009E415F" w:rsidRDefault="0035199F" w:rsidP="009E415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r w:rsidR="001251BA" w:rsidRPr="009E415F">
        <w:rPr>
          <w:rFonts w:ascii="Arial" w:hAnsi="Arial" w:cs="Arial"/>
          <w:sz w:val="20"/>
          <w:szCs w:val="20"/>
        </w:rPr>
        <w:t>jednotlivých pilířích</w:t>
      </w:r>
      <w:r w:rsidR="0023617E" w:rsidRPr="009E415F">
        <w:rPr>
          <w:rFonts w:ascii="Arial" w:hAnsi="Arial" w:cs="Arial"/>
          <w:sz w:val="20"/>
          <w:szCs w:val="20"/>
        </w:rPr>
        <w:t xml:space="preserve"> jsou uváděny </w:t>
      </w:r>
      <w:r w:rsidR="004F260F" w:rsidRPr="009E415F">
        <w:rPr>
          <w:rFonts w:ascii="Arial" w:hAnsi="Arial" w:cs="Arial"/>
          <w:sz w:val="20"/>
          <w:szCs w:val="20"/>
        </w:rPr>
        <w:t>indikátory,</w:t>
      </w:r>
      <w:r w:rsidR="0023617E" w:rsidRPr="009E415F">
        <w:rPr>
          <w:rFonts w:ascii="Arial" w:hAnsi="Arial" w:cs="Arial"/>
          <w:sz w:val="20"/>
          <w:szCs w:val="20"/>
        </w:rPr>
        <w:t xml:space="preserve"> k již naplňovaným opatřením. </w:t>
      </w:r>
      <w:r w:rsidR="00414DF1" w:rsidRPr="009E415F">
        <w:rPr>
          <w:rFonts w:ascii="Arial" w:hAnsi="Arial" w:cs="Arial"/>
          <w:sz w:val="20"/>
          <w:szCs w:val="20"/>
        </w:rPr>
        <w:t xml:space="preserve">V některých případech jsou indikátory rozděleny na výčet těch, které jsou k danému opatření uvedené v jednotlivých AP, ale zatím nejsou sledovány a na ty, ke kterým jsou v danou dobu dostupná data a je možno je evidovat. </w:t>
      </w:r>
    </w:p>
    <w:p w14:paraId="2A7EC82D" w14:textId="155FEC1B" w:rsidR="00414DF1" w:rsidRPr="001251BA" w:rsidRDefault="00414DF1" w:rsidP="00DE2CEC">
      <w:pPr>
        <w:jc w:val="both"/>
        <w:rPr>
          <w:rFonts w:ascii="Arial" w:hAnsi="Arial" w:cs="Arial"/>
          <w:sz w:val="20"/>
          <w:szCs w:val="20"/>
        </w:rPr>
      </w:pPr>
      <w:r w:rsidRPr="009E415F">
        <w:rPr>
          <w:rFonts w:ascii="Arial" w:hAnsi="Arial" w:cs="Arial"/>
          <w:sz w:val="20"/>
          <w:szCs w:val="20"/>
        </w:rPr>
        <w:t>Některé indikátory uvedené v AP vyjadřují dosažené výstupy, které v této fázi, kdy teprve projekty byly dokončeny, není ještě možné hodnotit. Vyjadřují dopady, které jsou souhrnné a mají dlouhodobější charakter. Z toho důvodu</w:t>
      </w:r>
      <w:r w:rsidR="00B73108" w:rsidRPr="009E415F">
        <w:rPr>
          <w:rFonts w:ascii="Arial" w:hAnsi="Arial" w:cs="Arial"/>
          <w:sz w:val="20"/>
          <w:szCs w:val="20"/>
        </w:rPr>
        <w:t xml:space="preserve"> jsou k nim aktuálně </w:t>
      </w:r>
      <w:r w:rsidRPr="009E415F">
        <w:rPr>
          <w:rFonts w:ascii="Arial" w:hAnsi="Arial" w:cs="Arial"/>
          <w:sz w:val="20"/>
          <w:szCs w:val="20"/>
        </w:rPr>
        <w:t>sled</w:t>
      </w:r>
      <w:r w:rsidR="00B73108" w:rsidRPr="009E415F">
        <w:rPr>
          <w:rFonts w:ascii="Arial" w:hAnsi="Arial" w:cs="Arial"/>
          <w:sz w:val="20"/>
          <w:szCs w:val="20"/>
        </w:rPr>
        <w:t>ovány a</w:t>
      </w:r>
      <w:r w:rsidRPr="009E415F">
        <w:rPr>
          <w:rFonts w:ascii="Arial" w:hAnsi="Arial" w:cs="Arial"/>
          <w:sz w:val="20"/>
          <w:szCs w:val="20"/>
        </w:rPr>
        <w:t xml:space="preserve"> uvád</w:t>
      </w:r>
      <w:r w:rsidR="00B73108" w:rsidRPr="009E415F">
        <w:rPr>
          <w:rFonts w:ascii="Arial" w:hAnsi="Arial" w:cs="Arial"/>
          <w:sz w:val="20"/>
          <w:szCs w:val="20"/>
        </w:rPr>
        <w:t>ěny</w:t>
      </w:r>
      <w:r w:rsidRPr="009E415F">
        <w:rPr>
          <w:rFonts w:ascii="Arial" w:hAnsi="Arial" w:cs="Arial"/>
          <w:sz w:val="20"/>
          <w:szCs w:val="20"/>
        </w:rPr>
        <w:t xml:space="preserve"> přímé </w:t>
      </w:r>
      <w:r w:rsidR="00B73108" w:rsidRPr="009E415F">
        <w:rPr>
          <w:rFonts w:ascii="Arial" w:hAnsi="Arial" w:cs="Arial"/>
          <w:sz w:val="20"/>
          <w:szCs w:val="20"/>
        </w:rPr>
        <w:t xml:space="preserve">a konkrétní </w:t>
      </w:r>
      <w:r w:rsidR="007E47C5" w:rsidRPr="009E415F">
        <w:rPr>
          <w:rFonts w:ascii="Arial" w:hAnsi="Arial" w:cs="Arial"/>
          <w:sz w:val="20"/>
          <w:szCs w:val="20"/>
        </w:rPr>
        <w:t xml:space="preserve">ukazatele </w:t>
      </w:r>
      <w:r w:rsidRPr="009E415F">
        <w:rPr>
          <w:rFonts w:ascii="Arial" w:hAnsi="Arial" w:cs="Arial"/>
          <w:sz w:val="20"/>
          <w:szCs w:val="20"/>
        </w:rPr>
        <w:t xml:space="preserve">jako jsou velikosti ploch, počty </w:t>
      </w:r>
      <w:r w:rsidR="00042616">
        <w:rPr>
          <w:rFonts w:ascii="Arial" w:hAnsi="Arial" w:cs="Arial"/>
          <w:sz w:val="20"/>
          <w:szCs w:val="20"/>
        </w:rPr>
        <w:t xml:space="preserve">podpořených osob </w:t>
      </w:r>
      <w:r w:rsidRPr="009E415F">
        <w:rPr>
          <w:rFonts w:ascii="Arial" w:hAnsi="Arial" w:cs="Arial"/>
          <w:sz w:val="20"/>
          <w:szCs w:val="20"/>
        </w:rPr>
        <w:t xml:space="preserve"> (atp. dle charakteru opatření)</w:t>
      </w:r>
      <w:r w:rsidR="00095FB1">
        <w:rPr>
          <w:rFonts w:ascii="Arial" w:hAnsi="Arial" w:cs="Arial"/>
          <w:sz w:val="20"/>
          <w:szCs w:val="20"/>
        </w:rPr>
        <w:t>.</w:t>
      </w:r>
    </w:p>
    <w:p w14:paraId="789EEF9D" w14:textId="24790101" w:rsidR="00653A3B" w:rsidRPr="00597AFE" w:rsidRDefault="00653A3B" w:rsidP="00597AFE">
      <w:pPr>
        <w:pStyle w:val="Nadpis2"/>
        <w:rPr>
          <w:b/>
          <w:bCs/>
        </w:rPr>
      </w:pPr>
      <w:r w:rsidRPr="00597AFE">
        <w:rPr>
          <w:b/>
          <w:bCs/>
        </w:rPr>
        <w:lastRenderedPageBreak/>
        <w:t>Pilíř A</w:t>
      </w:r>
    </w:p>
    <w:p w14:paraId="59B336E2" w14:textId="77777777" w:rsidR="00597AFE" w:rsidRDefault="00597AFE" w:rsidP="00C677F1">
      <w:pPr>
        <w:jc w:val="both"/>
        <w:rPr>
          <w:rFonts w:ascii="Arial" w:hAnsi="Arial" w:cs="Arial"/>
          <w:sz w:val="20"/>
          <w:szCs w:val="20"/>
        </w:rPr>
      </w:pPr>
    </w:p>
    <w:p w14:paraId="08F6FFFA" w14:textId="77777777" w:rsidR="00222C9C" w:rsidRDefault="00571E3F" w:rsidP="00222C9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II.A.1.1. - Podpora rozvoje podnikatelských aktivit ve strukturálně postižených regionech prostřednictvím investic do nemovitého majetku (bonifikace výzev </w:t>
      </w:r>
      <w:r w:rsidR="00E34792" w:rsidRPr="00597AFE">
        <w:rPr>
          <w:rFonts w:ascii="Arial" w:hAnsi="Arial" w:cs="Arial"/>
          <w:b/>
          <w:bCs/>
          <w:sz w:val="20"/>
          <w:szCs w:val="20"/>
        </w:rPr>
        <w:t>OPPIK – Nemovitosti</w:t>
      </w:r>
      <w:r w:rsidRPr="00597AFE">
        <w:rPr>
          <w:rFonts w:ascii="Arial" w:hAnsi="Arial" w:cs="Arial"/>
          <w:b/>
          <w:bCs/>
          <w:sz w:val="20"/>
          <w:szCs w:val="20"/>
        </w:rPr>
        <w:t xml:space="preserve">). </w:t>
      </w:r>
      <w:r w:rsidRPr="00597AFE">
        <w:rPr>
          <w:rFonts w:ascii="Arial" w:hAnsi="Arial" w:cs="Arial"/>
          <w:sz w:val="20"/>
          <w:szCs w:val="20"/>
        </w:rPr>
        <w:t xml:space="preserve">Opatření je naplňováno realizací projektů z programu 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NEMOVITOSTI - V. Výzva – Uhelné regiony. </w:t>
      </w:r>
    </w:p>
    <w:p w14:paraId="13568523" w14:textId="4321F669" w:rsidR="00571E3F" w:rsidRPr="00222C9C" w:rsidRDefault="00571E3F" w:rsidP="00222C9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 z AP 2: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2689"/>
        <w:gridCol w:w="440"/>
      </w:tblGrid>
      <w:tr w:rsidR="00571E3F" w:rsidRPr="00597AFE" w14:paraId="5C2C4253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793E5B3D" w14:textId="77777777" w:rsidR="00571E3F" w:rsidRPr="00597AFE" w:rsidRDefault="00571E3F" w:rsidP="00571E3F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podpořených MSP</w:t>
            </w:r>
          </w:p>
        </w:tc>
        <w:tc>
          <w:tcPr>
            <w:tcW w:w="440" w:type="dxa"/>
          </w:tcPr>
          <w:p w14:paraId="683F36F5" w14:textId="77777777" w:rsidR="00571E3F" w:rsidRPr="00597AFE" w:rsidRDefault="00571E3F" w:rsidP="00571E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4</w:t>
            </w:r>
            <w:r w:rsidR="006C2B68" w:rsidRPr="00597A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D208E" w:rsidRPr="00597AFE" w14:paraId="3D2C5A8A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8F94485" w14:textId="6E233B53" w:rsidR="00BD208E" w:rsidRPr="00597AFE" w:rsidRDefault="00BD208E" w:rsidP="00BD208E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</w:t>
            </w:r>
            <w:r w:rsidR="00F20C7B" w:rsidRPr="00597AFE">
              <w:rPr>
                <w:rFonts w:ascii="Arial" w:hAnsi="Arial" w:cs="Arial"/>
                <w:sz w:val="20"/>
                <w:szCs w:val="20"/>
              </w:rPr>
              <w:t>toho:</w:t>
            </w:r>
            <w:r w:rsidR="007E47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0C7B"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440" w:type="dxa"/>
          </w:tcPr>
          <w:p w14:paraId="7DC65809" w14:textId="77777777" w:rsidR="00BD208E" w:rsidRPr="00597AFE" w:rsidRDefault="00BD208E" w:rsidP="00BD20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BD208E" w:rsidRPr="00597AFE" w14:paraId="097E4380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9A30FA" w14:textId="408131A4" w:rsidR="00BD208E" w:rsidRPr="00597AFE" w:rsidRDefault="00BD208E" w:rsidP="00BD208E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440" w:type="dxa"/>
          </w:tcPr>
          <w:p w14:paraId="5B55E6A6" w14:textId="77777777" w:rsidR="00BD208E" w:rsidRPr="00597AFE" w:rsidRDefault="00BD208E" w:rsidP="00BD20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  <w:r w:rsidR="008E77FE" w:rsidRPr="00597AF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D208E" w:rsidRPr="00597AFE" w14:paraId="14051FC1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BF04D22" w14:textId="598DB5F6" w:rsidR="00BD208E" w:rsidRPr="00597AFE" w:rsidRDefault="00BD208E" w:rsidP="00BD208E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440" w:type="dxa"/>
          </w:tcPr>
          <w:p w14:paraId="5CCBDDB4" w14:textId="77777777" w:rsidR="00BD208E" w:rsidRPr="00597AFE" w:rsidRDefault="008E77FE" w:rsidP="00BD20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  <w:r w:rsidR="006C2B68" w:rsidRPr="00597AF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49A1B70F" w14:textId="77777777" w:rsidR="00BD208E" w:rsidRPr="00597AFE" w:rsidRDefault="00BD208E" w:rsidP="00571E3F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Další sledovaných indikátor:</w:t>
      </w:r>
    </w:p>
    <w:tbl>
      <w:tblPr>
        <w:tblStyle w:val="Tabulkaseznamu3zvraznn6"/>
        <w:tblpPr w:leftFromText="141" w:rightFromText="141" w:vertAnchor="text" w:tblpY="1"/>
        <w:tblW w:w="0" w:type="auto"/>
        <w:tblLook w:val="04A0" w:firstRow="1" w:lastRow="0" w:firstColumn="1" w:lastColumn="0" w:noHBand="0" w:noVBand="1"/>
      </w:tblPr>
      <w:tblGrid>
        <w:gridCol w:w="4531"/>
        <w:gridCol w:w="1276"/>
      </w:tblGrid>
      <w:tr w:rsidR="00BD208E" w:rsidRPr="00597AFE" w14:paraId="0EB90158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5BF89A48" w14:textId="77777777" w:rsidR="00BD208E" w:rsidRPr="00597AFE" w:rsidRDefault="00BD208E" w:rsidP="006C2B68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Rozšířené, zrekonstruované nebo nově vybudované kapacity bez záboru zemědělského půdního fondu (m</w:t>
            </w:r>
            <w:r w:rsidRPr="009E415F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597AF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6B43A235" w14:textId="77777777" w:rsidR="00BD208E" w:rsidRPr="00597AFE" w:rsidRDefault="00BD208E" w:rsidP="006C2B6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1CB2B43B" w14:textId="77777777" w:rsidR="00BD208E" w:rsidRPr="00597AFE" w:rsidRDefault="006C2B68" w:rsidP="006C2B6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96 384,80</w:t>
            </w:r>
          </w:p>
        </w:tc>
      </w:tr>
      <w:tr w:rsidR="00597AFE" w:rsidRPr="00597AFE" w14:paraId="7026E140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838F0CC" w14:textId="77777777" w:rsidR="00597AFE" w:rsidRPr="00597AFE" w:rsidRDefault="00597AFE" w:rsidP="006C2B68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7AC6BC" w14:textId="77777777" w:rsidR="00597AFE" w:rsidRPr="00597AFE" w:rsidRDefault="00597AFE" w:rsidP="006C2B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D208E" w:rsidRPr="00597AFE" w14:paraId="1BD00009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A755280" w14:textId="6B61075A" w:rsidR="00BD208E" w:rsidRPr="00597AFE" w:rsidRDefault="00BD208E" w:rsidP="006C2B68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</w:t>
            </w:r>
            <w:r w:rsidR="00F20C7B" w:rsidRPr="00597AFE">
              <w:rPr>
                <w:rFonts w:ascii="Arial" w:hAnsi="Arial" w:cs="Arial"/>
                <w:sz w:val="20"/>
                <w:szCs w:val="20"/>
              </w:rPr>
              <w:t xml:space="preserve">toho: </w:t>
            </w:r>
            <w:r w:rsidR="007E47C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20C7B"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1276" w:type="dxa"/>
          </w:tcPr>
          <w:p w14:paraId="31EAE7EB" w14:textId="77777777" w:rsidR="00BD208E" w:rsidRPr="00597AFE" w:rsidRDefault="00BD208E" w:rsidP="006C2B6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27 459,85</w:t>
            </w:r>
          </w:p>
        </w:tc>
      </w:tr>
      <w:tr w:rsidR="00BD208E" w:rsidRPr="00597AFE" w14:paraId="6EFD52FE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9E0EB2" w14:textId="0463FD1D" w:rsidR="00BD208E" w:rsidRPr="00597AFE" w:rsidRDefault="00BD208E" w:rsidP="006C2B68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MSK</w:t>
            </w:r>
          </w:p>
        </w:tc>
        <w:tc>
          <w:tcPr>
            <w:tcW w:w="1276" w:type="dxa"/>
          </w:tcPr>
          <w:p w14:paraId="6BA689B2" w14:textId="77777777" w:rsidR="00BD208E" w:rsidRPr="00597AFE" w:rsidRDefault="006C2B68" w:rsidP="006C2B6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29 634,82</w:t>
            </w:r>
          </w:p>
        </w:tc>
      </w:tr>
      <w:tr w:rsidR="00BD208E" w:rsidRPr="00597AFE" w14:paraId="63881B28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765D8AE" w14:textId="0AF1E6EE" w:rsidR="00BD208E" w:rsidRPr="00597AFE" w:rsidRDefault="00BD208E" w:rsidP="006C2B68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KVK</w:t>
            </w:r>
          </w:p>
        </w:tc>
        <w:tc>
          <w:tcPr>
            <w:tcW w:w="1276" w:type="dxa"/>
          </w:tcPr>
          <w:p w14:paraId="69364F2B" w14:textId="77777777" w:rsidR="00BD208E" w:rsidRPr="00597AFE" w:rsidRDefault="006C2B68" w:rsidP="006C2B6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39 290,13</w:t>
            </w:r>
          </w:p>
        </w:tc>
      </w:tr>
    </w:tbl>
    <w:p w14:paraId="10748738" w14:textId="79B10E62" w:rsidR="00597AFE" w:rsidRPr="00597AFE" w:rsidRDefault="006C2B68" w:rsidP="00597AFE">
      <w:r w:rsidRPr="00597AFE">
        <w:br w:type="textWrapping" w:clear="all"/>
      </w:r>
    </w:p>
    <w:p w14:paraId="05DAE1A6" w14:textId="1E9C54FB" w:rsidR="00653A3B" w:rsidRDefault="00653A3B" w:rsidP="00597AFE">
      <w:pPr>
        <w:pStyle w:val="Nadpis2"/>
        <w:rPr>
          <w:b/>
          <w:bCs/>
        </w:rPr>
      </w:pPr>
      <w:r w:rsidRPr="00597AFE">
        <w:rPr>
          <w:b/>
          <w:bCs/>
        </w:rPr>
        <w:t>Pilíř B</w:t>
      </w:r>
    </w:p>
    <w:p w14:paraId="418DAB43" w14:textId="77777777" w:rsidR="00597AFE" w:rsidRDefault="00597AFE" w:rsidP="00DE553A">
      <w:pPr>
        <w:rPr>
          <w:rFonts w:ascii="Arial" w:hAnsi="Arial" w:cs="Arial"/>
          <w:sz w:val="20"/>
          <w:szCs w:val="20"/>
        </w:rPr>
      </w:pPr>
    </w:p>
    <w:p w14:paraId="1E1EBD5D" w14:textId="53BAEF8F" w:rsidR="00BF3495" w:rsidRPr="00597AFE" w:rsidRDefault="00834365" w:rsidP="00C677F1">
      <w:pPr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>I.</w:t>
      </w:r>
      <w:r w:rsidR="00BF3495" w:rsidRPr="00597AFE">
        <w:rPr>
          <w:rFonts w:ascii="Arial" w:hAnsi="Arial" w:cs="Arial"/>
          <w:b/>
          <w:bCs/>
          <w:sz w:val="20"/>
          <w:szCs w:val="20"/>
        </w:rPr>
        <w:t>B.2.1 - Program na regeneraci a podnikatelské využití brow</w:t>
      </w:r>
      <w:r w:rsidR="00095FB1">
        <w:rPr>
          <w:rFonts w:ascii="Arial" w:hAnsi="Arial" w:cs="Arial"/>
          <w:b/>
          <w:bCs/>
          <w:sz w:val="20"/>
          <w:szCs w:val="20"/>
        </w:rPr>
        <w:t>n</w:t>
      </w:r>
      <w:r w:rsidR="00BF3495" w:rsidRPr="00597AFE">
        <w:rPr>
          <w:rFonts w:ascii="Arial" w:hAnsi="Arial" w:cs="Arial"/>
          <w:b/>
          <w:bCs/>
          <w:sz w:val="20"/>
          <w:szCs w:val="20"/>
        </w:rPr>
        <w:t>fieldů vč. navýšení alokace tohoto programu</w:t>
      </w:r>
      <w:r w:rsidR="00BF3495" w:rsidRPr="00597AFE">
        <w:rPr>
          <w:rFonts w:ascii="Arial" w:hAnsi="Arial" w:cs="Arial"/>
          <w:sz w:val="20"/>
          <w:szCs w:val="20"/>
        </w:rPr>
        <w:t>. Opatření je naplňováno především realizací projektů z dotační</w:t>
      </w:r>
      <w:r w:rsidR="00380B83" w:rsidRPr="00597AFE">
        <w:rPr>
          <w:rFonts w:ascii="Arial" w:hAnsi="Arial" w:cs="Arial"/>
          <w:sz w:val="20"/>
          <w:szCs w:val="20"/>
        </w:rPr>
        <w:t>ho</w:t>
      </w:r>
      <w:r w:rsidR="00BF3495" w:rsidRPr="00597AFE">
        <w:rPr>
          <w:rFonts w:ascii="Arial" w:hAnsi="Arial" w:cs="Arial"/>
          <w:sz w:val="20"/>
          <w:szCs w:val="20"/>
        </w:rPr>
        <w:t xml:space="preserve"> program</w:t>
      </w:r>
      <w:r w:rsidR="00380B83" w:rsidRPr="00597AFE">
        <w:rPr>
          <w:rFonts w:ascii="Arial" w:hAnsi="Arial" w:cs="Arial"/>
          <w:sz w:val="20"/>
          <w:szCs w:val="20"/>
        </w:rPr>
        <w:t>u</w:t>
      </w:r>
      <w:r w:rsidR="00BF3495" w:rsidRPr="00597AFE">
        <w:rPr>
          <w:rFonts w:ascii="Arial" w:hAnsi="Arial" w:cs="Arial"/>
          <w:sz w:val="20"/>
          <w:szCs w:val="20"/>
        </w:rPr>
        <w:t xml:space="preserve"> </w:t>
      </w:r>
      <w:r w:rsidR="00BF3495" w:rsidRPr="00597AFE">
        <w:rPr>
          <w:rFonts w:ascii="Arial" w:hAnsi="Arial" w:cs="Arial"/>
          <w:i/>
          <w:iCs/>
          <w:sz w:val="20"/>
          <w:szCs w:val="20"/>
        </w:rPr>
        <w:t>Regenerace a podnikatelské využití brownfieldů</w:t>
      </w:r>
      <w:r w:rsidR="00571E3F" w:rsidRPr="00597AFE">
        <w:rPr>
          <w:rFonts w:ascii="Arial" w:hAnsi="Arial" w:cs="Arial"/>
          <w:sz w:val="20"/>
          <w:szCs w:val="20"/>
        </w:rPr>
        <w:t>.</w:t>
      </w:r>
    </w:p>
    <w:p w14:paraId="1C53496B" w14:textId="7FA39986" w:rsidR="00380B83" w:rsidRPr="00597AFE" w:rsidRDefault="00380B83" w:rsidP="00834365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v AP1 (zatím nesledované</w:t>
      </w:r>
      <w:r w:rsidR="007E47C5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597AFE">
        <w:rPr>
          <w:rFonts w:ascii="Arial" w:hAnsi="Arial" w:cs="Arial"/>
          <w:sz w:val="20"/>
          <w:szCs w:val="20"/>
        </w:rPr>
        <w:t>)</w:t>
      </w:r>
    </w:p>
    <w:p w14:paraId="42343CED" w14:textId="77777777" w:rsidR="00380B83" w:rsidRPr="00597AFE" w:rsidRDefault="00380B83" w:rsidP="00380B8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Celková výše následných investic realizovaných na podpořených územích a v rekonstruovaných podnikatelských objektech</w:t>
      </w:r>
    </w:p>
    <w:p w14:paraId="69122CA2" w14:textId="77777777" w:rsidR="00380B83" w:rsidRPr="00597AFE" w:rsidRDefault="00380B83" w:rsidP="00380B8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Počet vytvořených pracovních míst</w:t>
      </w:r>
    </w:p>
    <w:p w14:paraId="79472933" w14:textId="2D645ADF" w:rsidR="00380B83" w:rsidRDefault="00380B83" w:rsidP="00380B8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Obsazenost průmyslových ploch a nemovitostí</w:t>
      </w:r>
    </w:p>
    <w:p w14:paraId="5BD6D4A9" w14:textId="75463725" w:rsidR="00C25571" w:rsidRPr="00597AFE" w:rsidRDefault="00C01511" w:rsidP="00137F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</w:t>
      </w:r>
      <w:r w:rsidR="00C25571" w:rsidRPr="00597AFE">
        <w:rPr>
          <w:rFonts w:ascii="Arial" w:hAnsi="Arial" w:cs="Arial"/>
          <w:sz w:val="20"/>
          <w:szCs w:val="20"/>
        </w:rPr>
        <w:t xml:space="preserve"> sledovaný</w:t>
      </w:r>
      <w:r w:rsidRPr="00597AFE">
        <w:rPr>
          <w:rFonts w:ascii="Arial" w:hAnsi="Arial" w:cs="Arial"/>
          <w:sz w:val="20"/>
          <w:szCs w:val="20"/>
        </w:rPr>
        <w:t xml:space="preserve"> i</w:t>
      </w:r>
      <w:r w:rsidR="00C17E97" w:rsidRPr="00597AFE">
        <w:rPr>
          <w:rFonts w:ascii="Arial" w:hAnsi="Arial" w:cs="Arial"/>
          <w:sz w:val="20"/>
          <w:szCs w:val="20"/>
        </w:rPr>
        <w:t>ndikátor: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382"/>
        <w:gridCol w:w="850"/>
      </w:tblGrid>
      <w:tr w:rsidR="00C25571" w:rsidRPr="00597AFE" w14:paraId="0C937673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2" w:type="dxa"/>
          </w:tcPr>
          <w:p w14:paraId="5BA944CA" w14:textId="77777777" w:rsidR="00C25571" w:rsidRPr="00597AFE" w:rsidRDefault="00C25571" w:rsidP="00137F8B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Velikost podpořeného území (revitalizovaná plocha) m</w:t>
            </w:r>
            <w:r w:rsidRPr="000236B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</w:tcPr>
          <w:p w14:paraId="07C0DAB8" w14:textId="5785D4E3" w:rsidR="00C25571" w:rsidRPr="000236BD" w:rsidRDefault="00BF396A" w:rsidP="002B631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64 144</w:t>
            </w:r>
          </w:p>
        </w:tc>
      </w:tr>
      <w:tr w:rsidR="00C25571" w:rsidRPr="00597AFE" w14:paraId="7C30D021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1033D6B3" w14:textId="699D06EA" w:rsidR="00C25571" w:rsidRPr="00597AFE" w:rsidRDefault="00C25571" w:rsidP="00C25571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7E47C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850" w:type="dxa"/>
          </w:tcPr>
          <w:p w14:paraId="2FC037FE" w14:textId="043FC143" w:rsidR="00C25571" w:rsidRPr="000236BD" w:rsidRDefault="00BF396A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46 704</w:t>
            </w:r>
          </w:p>
        </w:tc>
      </w:tr>
      <w:tr w:rsidR="00C25571" w:rsidRPr="00597AFE" w14:paraId="0D956436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77AD7F6A" w14:textId="77777777" w:rsidR="00C25571" w:rsidRPr="00597AFE" w:rsidRDefault="00C25571" w:rsidP="00C25571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850" w:type="dxa"/>
          </w:tcPr>
          <w:p w14:paraId="55FE0868" w14:textId="77777777" w:rsidR="00C25571" w:rsidRPr="000236BD" w:rsidRDefault="00C25571" w:rsidP="002B63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11673</w:t>
            </w:r>
          </w:p>
        </w:tc>
      </w:tr>
      <w:tr w:rsidR="00C25571" w:rsidRPr="00597AFE" w14:paraId="1CADCBC6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37322AB5" w14:textId="77777777" w:rsidR="00C25571" w:rsidRPr="00597AFE" w:rsidRDefault="00C25571" w:rsidP="00C25571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850" w:type="dxa"/>
          </w:tcPr>
          <w:p w14:paraId="1A9D3959" w14:textId="3F0EBEA4" w:rsidR="00C25571" w:rsidRPr="000236BD" w:rsidRDefault="009E09E7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5</w:t>
            </w:r>
            <w:r w:rsidR="00923D2B" w:rsidRPr="000236BD">
              <w:rPr>
                <w:rFonts w:ascii="Arial" w:hAnsi="Arial" w:cs="Arial"/>
                <w:sz w:val="20"/>
                <w:szCs w:val="20"/>
              </w:rPr>
              <w:t>767</w:t>
            </w:r>
          </w:p>
        </w:tc>
      </w:tr>
    </w:tbl>
    <w:p w14:paraId="3CCF0C4C" w14:textId="77777777" w:rsidR="003540EB" w:rsidRPr="00597AFE" w:rsidRDefault="003540EB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998CB7" w14:textId="45848D5F" w:rsidR="000B09D8" w:rsidRPr="00597AFE" w:rsidRDefault="000B09D8" w:rsidP="00597AFE">
      <w:pPr>
        <w:pStyle w:val="Nadpis2"/>
        <w:rPr>
          <w:b/>
          <w:bCs/>
        </w:rPr>
      </w:pPr>
      <w:r w:rsidRPr="00597AFE">
        <w:rPr>
          <w:b/>
          <w:bCs/>
        </w:rPr>
        <w:t>Pilíř C</w:t>
      </w:r>
    </w:p>
    <w:p w14:paraId="6BC106A6" w14:textId="77777777" w:rsidR="00597AFE" w:rsidRDefault="00597AFE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7B259F" w14:textId="1E5F3CB9" w:rsidR="0098746A" w:rsidRPr="00597AFE" w:rsidRDefault="0098746A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A957A1" w14:textId="4B8C5C4C" w:rsidR="0098746A" w:rsidRPr="00597AFE" w:rsidRDefault="0098746A" w:rsidP="00DA32A7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I.C.2.5. - Testování autonomních silničních vozidel v reálném (nebo téměř reálném) silničním provozu města Ústí nad </w:t>
      </w:r>
      <w:r w:rsidR="00047603" w:rsidRPr="00597AFE">
        <w:rPr>
          <w:rFonts w:ascii="Arial" w:hAnsi="Arial" w:cs="Arial"/>
          <w:b/>
          <w:bCs/>
          <w:sz w:val="20"/>
          <w:szCs w:val="20"/>
        </w:rPr>
        <w:t>Labem – U</w:t>
      </w:r>
      <w:r w:rsidRPr="00597AFE">
        <w:rPr>
          <w:rFonts w:ascii="Arial" w:hAnsi="Arial" w:cs="Arial"/>
          <w:b/>
          <w:bCs/>
          <w:sz w:val="20"/>
          <w:szCs w:val="20"/>
        </w:rPr>
        <w:t xml:space="preserve"> "SMART" ZONE. </w:t>
      </w:r>
      <w:r w:rsidRPr="00597AFE">
        <w:rPr>
          <w:rFonts w:ascii="Arial" w:hAnsi="Arial" w:cs="Arial"/>
          <w:sz w:val="20"/>
          <w:szCs w:val="20"/>
        </w:rPr>
        <w:t xml:space="preserve">Opatření je naplněno přímo projektem </w:t>
      </w:r>
      <w:r w:rsidR="00047603" w:rsidRPr="00597AFE">
        <w:rPr>
          <w:rFonts w:ascii="Arial" w:hAnsi="Arial" w:cs="Arial"/>
          <w:sz w:val="20"/>
          <w:szCs w:val="20"/>
        </w:rPr>
        <w:t>U – Smart</w:t>
      </w:r>
      <w:r w:rsidRPr="00597AFE">
        <w:rPr>
          <w:rFonts w:ascii="Arial" w:hAnsi="Arial" w:cs="Arial"/>
          <w:sz w:val="20"/>
          <w:szCs w:val="20"/>
        </w:rPr>
        <w:t xml:space="preserve"> zone (možnosti testování autonomních vozidel v městském provozu), konkrétně zpracováním studie proveditelnosti, která byla financována z programu </w:t>
      </w:r>
      <w:r w:rsidRPr="00597AFE">
        <w:rPr>
          <w:rFonts w:ascii="Arial" w:hAnsi="Arial" w:cs="Arial"/>
          <w:i/>
          <w:iCs/>
          <w:sz w:val="20"/>
          <w:szCs w:val="20"/>
        </w:rPr>
        <w:t>Ministerstva dopravy ČR.</w:t>
      </w:r>
    </w:p>
    <w:p w14:paraId="3B4E3BC7" w14:textId="628EE9AA" w:rsidR="0098746A" w:rsidRPr="00597AFE" w:rsidRDefault="0098746A" w:rsidP="00137F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Indikátory v AP1 </w:t>
      </w:r>
    </w:p>
    <w:p w14:paraId="0D24BF7D" w14:textId="7C2A9497" w:rsidR="00512F30" w:rsidRPr="00597AFE" w:rsidRDefault="0098746A" w:rsidP="0098746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Počet účastí podpořených výzkumných týmů realizovaných v programu Horizont 2020</w:t>
      </w:r>
    </w:p>
    <w:p w14:paraId="089355B4" w14:textId="2D128547" w:rsidR="0098746A" w:rsidRPr="00597AFE" w:rsidRDefault="0098746A" w:rsidP="0098746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Podíl VaV činnosti, spolupráce a výsledků výzkumných organizací v specializačních doménách</w:t>
      </w:r>
    </w:p>
    <w:p w14:paraId="2B04DB15" w14:textId="77777777" w:rsidR="00597AFE" w:rsidRDefault="00597AFE" w:rsidP="009874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5B47EC" w14:textId="3394F9F7" w:rsidR="0098746A" w:rsidRPr="00597AFE" w:rsidRDefault="0098746A" w:rsidP="009874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sledovaný indikátor: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382"/>
        <w:gridCol w:w="850"/>
      </w:tblGrid>
      <w:tr w:rsidR="0098746A" w:rsidRPr="00597AFE" w14:paraId="03459378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82" w:type="dxa"/>
          </w:tcPr>
          <w:p w14:paraId="64E30532" w14:textId="2F1A6001" w:rsidR="0098746A" w:rsidRPr="00597AFE" w:rsidRDefault="0098746A" w:rsidP="003D259F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studií proveditelnosti</w:t>
            </w:r>
          </w:p>
        </w:tc>
        <w:tc>
          <w:tcPr>
            <w:tcW w:w="850" w:type="dxa"/>
          </w:tcPr>
          <w:p w14:paraId="744B2E8B" w14:textId="60A2BC4C" w:rsidR="0098746A" w:rsidRPr="00597AFE" w:rsidRDefault="00A0165A" w:rsidP="003D259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7511DA1" w14:textId="2A481C49" w:rsidR="00920A34" w:rsidRPr="0035199F" w:rsidRDefault="001B7B86" w:rsidP="0035199F">
      <w:pPr>
        <w:jc w:val="both"/>
        <w:rPr>
          <w:sz w:val="20"/>
          <w:szCs w:val="20"/>
        </w:rPr>
      </w:pPr>
      <w:r w:rsidRPr="007034C6">
        <w:rPr>
          <w:rFonts w:ascii="Arial" w:hAnsi="Arial" w:cs="Arial"/>
          <w:sz w:val="20"/>
          <w:szCs w:val="20"/>
          <w:lang w:eastAsia="cs-CZ"/>
        </w:rPr>
        <w:t xml:space="preserve">Opatření naplněno, zafinancovaná analýza byla v 1.Q 2019 zveřejněna. </w:t>
      </w:r>
    </w:p>
    <w:p w14:paraId="55D2E0B8" w14:textId="77777777" w:rsidR="00834365" w:rsidRPr="00597AFE" w:rsidRDefault="00834365" w:rsidP="00597AFE">
      <w:pPr>
        <w:pStyle w:val="Nadpis2"/>
        <w:rPr>
          <w:b/>
          <w:bCs/>
        </w:rPr>
      </w:pPr>
      <w:r w:rsidRPr="00597AFE">
        <w:rPr>
          <w:b/>
          <w:bCs/>
        </w:rPr>
        <w:t>Pilíř D</w:t>
      </w:r>
    </w:p>
    <w:p w14:paraId="3DA17BA7" w14:textId="77777777" w:rsidR="00597AFE" w:rsidRDefault="00597AFE" w:rsidP="00E410D6">
      <w:pPr>
        <w:rPr>
          <w:rFonts w:ascii="Arial" w:hAnsi="Arial" w:cs="Arial"/>
          <w:sz w:val="20"/>
          <w:szCs w:val="20"/>
        </w:rPr>
      </w:pPr>
    </w:p>
    <w:p w14:paraId="2F22D575" w14:textId="77777777" w:rsidR="00834365" w:rsidRPr="00597AFE" w:rsidRDefault="00C900A7" w:rsidP="00DA32A7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I.D.1.3 </w:t>
      </w:r>
      <w:r w:rsidR="00834365" w:rsidRPr="00597AFE">
        <w:rPr>
          <w:rFonts w:ascii="Arial" w:hAnsi="Arial" w:cs="Arial"/>
          <w:b/>
          <w:bCs/>
          <w:sz w:val="20"/>
          <w:szCs w:val="20"/>
        </w:rPr>
        <w:t>Cílené komplementární výzvy z Operačního programu Výzkum, vývoj, vzdělávání pro VŠ ve strukturálně postižených regionech</w:t>
      </w:r>
      <w:r w:rsidRPr="00597AFE">
        <w:rPr>
          <w:rFonts w:ascii="Arial" w:hAnsi="Arial" w:cs="Arial"/>
          <w:sz w:val="20"/>
          <w:szCs w:val="20"/>
        </w:rPr>
        <w:t xml:space="preserve">. Opatření je naplňováno především realizací projektů z dotačního programu 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OP VVV, PO2, Výzva č. 02_18_059 - ERDF výzva pro vysoké školy – Strukturálně postižené regiony. </w:t>
      </w:r>
    </w:p>
    <w:p w14:paraId="1A2A9116" w14:textId="4D077EB6" w:rsidR="00CF3101" w:rsidRPr="00597AFE" w:rsidRDefault="00CF3101" w:rsidP="00137F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sledované indikátory vyplývající z projektů jsou tyto:</w:t>
      </w:r>
    </w:p>
    <w:tbl>
      <w:tblPr>
        <w:tblStyle w:val="Tabulkaseznamu3zvraznn6"/>
        <w:tblpPr w:leftFromText="141" w:rightFromText="141" w:vertAnchor="text" w:tblpY="1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CF3101" w:rsidRPr="00597AFE" w14:paraId="4DA030E0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6E0CB7A1" w14:textId="77777777" w:rsidR="00CF3101" w:rsidRPr="00550EB4" w:rsidRDefault="00CF3101" w:rsidP="00597F1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podpořených osob novou infrastrukturou/projektem</w:t>
            </w:r>
          </w:p>
        </w:tc>
        <w:tc>
          <w:tcPr>
            <w:tcW w:w="851" w:type="dxa"/>
          </w:tcPr>
          <w:p w14:paraId="78ED95FE" w14:textId="7F5219ED" w:rsidR="00CF3101" w:rsidRPr="00550EB4" w:rsidRDefault="00937202" w:rsidP="00597F1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5 161</w:t>
            </w:r>
          </w:p>
        </w:tc>
      </w:tr>
      <w:tr w:rsidR="00CF3101" w:rsidRPr="00597AFE" w14:paraId="54676B40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7FE81B" w14:textId="5F99634D" w:rsidR="00CF3101" w:rsidRPr="00597AFE" w:rsidRDefault="00CF3101" w:rsidP="00597F11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7E47C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851" w:type="dxa"/>
          </w:tcPr>
          <w:p w14:paraId="66F80868" w14:textId="07E56395" w:rsidR="00CF3101" w:rsidRPr="000236BD" w:rsidRDefault="00937202" w:rsidP="00597F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1 223</w:t>
            </w:r>
          </w:p>
        </w:tc>
      </w:tr>
      <w:tr w:rsidR="00CF3101" w:rsidRPr="00597AFE" w14:paraId="44CD3ED5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8A5E8D" w14:textId="77777777" w:rsidR="00CF3101" w:rsidRPr="00597AFE" w:rsidRDefault="00CF3101" w:rsidP="00597F11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851" w:type="dxa"/>
          </w:tcPr>
          <w:p w14:paraId="3D5A1B11" w14:textId="02D417C8" w:rsidR="00CF3101" w:rsidRPr="000236BD" w:rsidRDefault="00CF3101" w:rsidP="00597F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3</w:t>
            </w:r>
            <w:r w:rsidR="007E47C5" w:rsidRPr="000236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36BD">
              <w:rPr>
                <w:rFonts w:ascii="Arial" w:hAnsi="Arial" w:cs="Arial"/>
                <w:sz w:val="20"/>
                <w:szCs w:val="20"/>
              </w:rPr>
              <w:t>938</w:t>
            </w:r>
          </w:p>
        </w:tc>
      </w:tr>
      <w:tr w:rsidR="00CF3101" w:rsidRPr="00597AFE" w14:paraId="43E933C3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FF6860" w14:textId="77777777" w:rsidR="00CF3101" w:rsidRPr="00550EB4" w:rsidRDefault="00CF3101" w:rsidP="00597F1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Počet nových/upravených studijních programů</w:t>
            </w:r>
          </w:p>
        </w:tc>
        <w:tc>
          <w:tcPr>
            <w:tcW w:w="851" w:type="dxa"/>
          </w:tcPr>
          <w:p w14:paraId="5B541652" w14:textId="77777777" w:rsidR="00CF3101" w:rsidRPr="00550EB4" w:rsidRDefault="00CF3101" w:rsidP="00597F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0EB4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</w:tr>
      <w:tr w:rsidR="00CF3101" w:rsidRPr="00597AFE" w14:paraId="2DD77CD1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738FDD" w14:textId="30844984" w:rsidR="00CF3101" w:rsidRPr="00597AFE" w:rsidRDefault="00CF3101" w:rsidP="00597F11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7E47C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851" w:type="dxa"/>
          </w:tcPr>
          <w:p w14:paraId="4062EAD3" w14:textId="77777777" w:rsidR="00CF3101" w:rsidRPr="000236BD" w:rsidRDefault="00CF3101" w:rsidP="00597F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CF3101" w:rsidRPr="00597AFE" w14:paraId="572CC659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EDC2170" w14:textId="77777777" w:rsidR="00CF3101" w:rsidRPr="00597AFE" w:rsidRDefault="00CF3101" w:rsidP="00597F11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851" w:type="dxa"/>
          </w:tcPr>
          <w:p w14:paraId="1DFB926B" w14:textId="77777777" w:rsidR="00CF3101" w:rsidRPr="000236BD" w:rsidRDefault="00CF3101" w:rsidP="00597F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36B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</w:tbl>
    <w:p w14:paraId="3FC90DFF" w14:textId="77777777" w:rsidR="00AF7F1C" w:rsidRDefault="00597F11" w:rsidP="00137F8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1F52EC3B" w14:textId="32993163" w:rsidR="00CF3101" w:rsidRPr="00597AFE" w:rsidRDefault="00AF7F1C" w:rsidP="007034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Projekty zaměřené na zvýšení kvality a profilace vzdělávacích aktivit reagovaly na specifické potřeby trhu práce ve strukturálně postižených regionech vyžadující přenositelné kompetence, které budou zvyšovat </w:t>
      </w:r>
      <w:r w:rsidR="00807FE8">
        <w:rPr>
          <w:rFonts w:ascii="Arial" w:hAnsi="Arial" w:cs="Arial"/>
          <w:sz w:val="20"/>
          <w:szCs w:val="20"/>
        </w:rPr>
        <w:t>kvalitní</w:t>
      </w:r>
      <w:r>
        <w:rPr>
          <w:rFonts w:ascii="Arial" w:hAnsi="Arial" w:cs="Arial"/>
          <w:sz w:val="20"/>
          <w:szCs w:val="20"/>
        </w:rPr>
        <w:t xml:space="preserve"> zaměstnavatelnost absolventů VŠ. </w:t>
      </w:r>
      <w:r w:rsidR="00807FE8">
        <w:rPr>
          <w:rFonts w:ascii="Arial" w:hAnsi="Arial" w:cs="Arial"/>
          <w:sz w:val="20"/>
          <w:szCs w:val="20"/>
        </w:rPr>
        <w:t>Bylo vytvořeno zázemí pro nově akreditované multidisciplinární studijní programy vycházejí z potřeb regionů a nové formy výukových metod posilující univerzity a vazbu mezi studenty a univerzitami.</w:t>
      </w:r>
    </w:p>
    <w:p w14:paraId="4B3D5B4A" w14:textId="77777777" w:rsidR="00CF3101" w:rsidRPr="00597AFE" w:rsidRDefault="00CF3101" w:rsidP="00137F8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F2C113" w14:textId="5D44321D" w:rsidR="00FC65B7" w:rsidRPr="00597AFE" w:rsidRDefault="00FC65B7" w:rsidP="007034C6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I.D.3.4 Realizace opatření k řešení dlouhodobé nezaměstnanosti. </w:t>
      </w:r>
      <w:r w:rsidRPr="00597AFE">
        <w:rPr>
          <w:rFonts w:ascii="Arial" w:hAnsi="Arial" w:cs="Arial"/>
          <w:sz w:val="20"/>
          <w:szCs w:val="20"/>
        </w:rPr>
        <w:t xml:space="preserve">Opatření je naplňováno především realizací projektů z 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OP </w:t>
      </w:r>
      <w:r w:rsidR="00EF743D" w:rsidRPr="00597AFE">
        <w:rPr>
          <w:rFonts w:ascii="Arial" w:hAnsi="Arial" w:cs="Arial"/>
          <w:i/>
          <w:iCs/>
          <w:sz w:val="20"/>
          <w:szCs w:val="20"/>
        </w:rPr>
        <w:t>Z – výzva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 č. 90 Specifická výzva na vybrané cílové skupiny IP </w:t>
      </w:r>
      <w:r w:rsidR="00FB177F" w:rsidRPr="00597AFE">
        <w:rPr>
          <w:rFonts w:ascii="Arial" w:hAnsi="Arial" w:cs="Arial"/>
          <w:i/>
          <w:iCs/>
          <w:sz w:val="20"/>
          <w:szCs w:val="20"/>
        </w:rPr>
        <w:t>1.</w:t>
      </w:r>
      <w:r w:rsidR="00042616">
        <w:rPr>
          <w:rFonts w:ascii="Arial" w:hAnsi="Arial" w:cs="Arial"/>
          <w:i/>
          <w:iCs/>
          <w:sz w:val="20"/>
          <w:szCs w:val="20"/>
        </w:rPr>
        <w:t>1</w:t>
      </w:r>
      <w:r w:rsidR="00FB177F" w:rsidRPr="00597AFE">
        <w:rPr>
          <w:rFonts w:ascii="Arial" w:hAnsi="Arial" w:cs="Arial"/>
          <w:i/>
          <w:iCs/>
          <w:sz w:val="20"/>
          <w:szCs w:val="20"/>
        </w:rPr>
        <w:t xml:space="preserve">. </w:t>
      </w:r>
    </w:p>
    <w:p w14:paraId="0CE5DD4F" w14:textId="4AF34986" w:rsidR="001D0B0A" w:rsidRPr="00597AFE" w:rsidRDefault="001D0B0A" w:rsidP="001D0B0A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v AP1 (zatím nesledované</w:t>
      </w:r>
      <w:r w:rsidR="007E47C5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597AFE">
        <w:rPr>
          <w:rFonts w:ascii="Arial" w:hAnsi="Arial" w:cs="Arial"/>
          <w:sz w:val="20"/>
          <w:szCs w:val="20"/>
        </w:rPr>
        <w:t>)</w:t>
      </w:r>
    </w:p>
    <w:p w14:paraId="6967C649" w14:textId="77777777" w:rsidR="001D0B0A" w:rsidRPr="00597AFE" w:rsidRDefault="001D0B0A" w:rsidP="001D0B0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Výrazné snížení počtu dlouhodobě nezaměstnaných (ve srovnat. letech dle celkového počtu nezaměstnaných)</w:t>
      </w:r>
    </w:p>
    <w:p w14:paraId="4D2ECD43" w14:textId="77777777" w:rsidR="001D0B0A" w:rsidRPr="00597AFE" w:rsidRDefault="001D0B0A" w:rsidP="001D0B0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Snižování strukturální nerovnováhy mezi poptávkou a nabídkou po nízkokvalifikovaných profesích na trhu práce</w:t>
      </w:r>
    </w:p>
    <w:p w14:paraId="17856F04" w14:textId="77777777" w:rsidR="001D0B0A" w:rsidRPr="00597AFE" w:rsidRDefault="001D0B0A" w:rsidP="001D0B0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Počet a úspěšnost inovativních řešení k podpoře zaměstnanosti</w:t>
      </w:r>
    </w:p>
    <w:p w14:paraId="7500A09A" w14:textId="77777777" w:rsidR="001D0B0A" w:rsidRPr="00597AFE" w:rsidRDefault="001D0B0A" w:rsidP="001D0B0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1EBB11" w14:textId="6BDCC70D" w:rsidR="00222C9C" w:rsidRPr="00597AFE" w:rsidRDefault="001D0B0A" w:rsidP="001D0B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sledované indikátory: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1D0B0A" w:rsidRPr="00597AFE" w14:paraId="54DD9E37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02708DD6" w14:textId="77777777" w:rsidR="001D0B0A" w:rsidRPr="00597AFE" w:rsidRDefault="001D0B0A" w:rsidP="00C900A7">
            <w:pPr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účastníků/podpořených osob</w:t>
            </w:r>
          </w:p>
        </w:tc>
        <w:tc>
          <w:tcPr>
            <w:tcW w:w="851" w:type="dxa"/>
          </w:tcPr>
          <w:p w14:paraId="32FDFCF2" w14:textId="52991721" w:rsidR="001D0B0A" w:rsidRPr="000B6B69" w:rsidRDefault="00937202" w:rsidP="002B631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85074D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507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D0B0A" w:rsidRPr="00597AFE" w14:paraId="63BC1193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50B8DB4" w14:textId="77777777" w:rsidR="001D0B0A" w:rsidRPr="00597AFE" w:rsidRDefault="001D0B0A" w:rsidP="001D0B0A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3748178B" w14:textId="5619204F" w:rsidR="001D0B0A" w:rsidRPr="000B6B69" w:rsidRDefault="0085074D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914</w:t>
            </w:r>
          </w:p>
        </w:tc>
      </w:tr>
      <w:tr w:rsidR="001D0B0A" w:rsidRPr="00597AFE" w14:paraId="54D11095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0FB2BB0" w14:textId="01BCC6C2" w:rsidR="001D0B0A" w:rsidRPr="00597AFE" w:rsidRDefault="001D0B0A" w:rsidP="001D0B0A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7EC7DF5E" w14:textId="44E593A0" w:rsidR="001D0B0A" w:rsidRPr="000B6B69" w:rsidRDefault="00937202" w:rsidP="002B63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</w:t>
            </w:r>
          </w:p>
        </w:tc>
      </w:tr>
      <w:tr w:rsidR="00937202" w:rsidRPr="00597AFE" w14:paraId="6FF910AA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6DABA4" w14:textId="49E6F140" w:rsidR="00937202" w:rsidRPr="00597AFE" w:rsidRDefault="00937202" w:rsidP="001D0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1C5E7D49" w14:textId="63FCEE63" w:rsidR="00937202" w:rsidRDefault="00937202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</w:tr>
      <w:tr w:rsidR="001D0B0A" w:rsidRPr="00597AFE" w14:paraId="1382F62F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992926" w14:textId="77777777" w:rsidR="001D0B0A" w:rsidRPr="00597AFE" w:rsidRDefault="001D0B0A" w:rsidP="001D0B0A">
            <w:pPr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Účastníci se získanou kvalifikací/rekvalifikací</w:t>
            </w:r>
          </w:p>
        </w:tc>
        <w:tc>
          <w:tcPr>
            <w:tcW w:w="851" w:type="dxa"/>
          </w:tcPr>
          <w:p w14:paraId="59CC73CA" w14:textId="1CF94FF1" w:rsidR="001D0B0A" w:rsidRPr="00937202" w:rsidRDefault="00937202" w:rsidP="002B63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7202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85074D"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</w:p>
        </w:tc>
      </w:tr>
      <w:tr w:rsidR="001D0B0A" w:rsidRPr="00597AFE" w14:paraId="2711FDE8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22B2ED6" w14:textId="77777777" w:rsidR="001D0B0A" w:rsidRPr="00597AFE" w:rsidRDefault="001D0B0A" w:rsidP="001D0B0A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6DB07F56" w14:textId="237C90D7" w:rsidR="001D0B0A" w:rsidRPr="000B6B69" w:rsidRDefault="00937202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5074D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1D0B0A" w:rsidRPr="00597AFE" w14:paraId="4CD11E9A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84663E7" w14:textId="6245B8D8" w:rsidR="001D0B0A" w:rsidRPr="00597AFE" w:rsidRDefault="001D0B0A" w:rsidP="001D0B0A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3F737EB8" w14:textId="44342268" w:rsidR="001D0B0A" w:rsidRPr="000B6B69" w:rsidRDefault="00937202" w:rsidP="002B631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937202" w:rsidRPr="00597AFE" w14:paraId="3A67A0B5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EC38394" w14:textId="624141B9" w:rsidR="00937202" w:rsidRPr="00597AFE" w:rsidRDefault="00937202" w:rsidP="001D0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5D9BBB27" w14:textId="4FF98C7B" w:rsidR="00937202" w:rsidRDefault="00937202" w:rsidP="002B631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</w:tbl>
    <w:p w14:paraId="2781A1AE" w14:textId="77777777" w:rsidR="001D0B0A" w:rsidRPr="00597AFE" w:rsidRDefault="001D0B0A" w:rsidP="00C677F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3245A17" w14:textId="10D0E331" w:rsidR="001D0B0A" w:rsidRDefault="00CC4A0C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4A0C">
        <w:rPr>
          <w:rFonts w:ascii="Arial" w:hAnsi="Arial" w:cs="Arial"/>
          <w:sz w:val="20"/>
          <w:szCs w:val="20"/>
        </w:rPr>
        <w:t xml:space="preserve">V případě </w:t>
      </w:r>
      <w:r w:rsidR="00985B21" w:rsidRPr="00CC4A0C">
        <w:rPr>
          <w:rFonts w:ascii="Arial" w:hAnsi="Arial" w:cs="Arial"/>
          <w:sz w:val="20"/>
          <w:szCs w:val="20"/>
        </w:rPr>
        <w:t>projekt</w:t>
      </w:r>
      <w:r w:rsidRPr="00CC4A0C">
        <w:rPr>
          <w:rFonts w:ascii="Arial" w:hAnsi="Arial" w:cs="Arial"/>
          <w:sz w:val="20"/>
          <w:szCs w:val="20"/>
        </w:rPr>
        <w:t>ů</w:t>
      </w:r>
      <w:r w:rsidR="00985B21" w:rsidRPr="00CC4A0C">
        <w:rPr>
          <w:rFonts w:ascii="Arial" w:hAnsi="Arial" w:cs="Arial"/>
          <w:sz w:val="20"/>
          <w:szCs w:val="20"/>
        </w:rPr>
        <w:t xml:space="preserve"> </w:t>
      </w:r>
      <w:r w:rsidRPr="00CC4A0C">
        <w:rPr>
          <w:rFonts w:ascii="Arial" w:hAnsi="Arial" w:cs="Arial"/>
          <w:sz w:val="20"/>
          <w:szCs w:val="20"/>
        </w:rPr>
        <w:t xml:space="preserve">„Plus pro práci“ a „Nová naděje“ </w:t>
      </w:r>
      <w:r w:rsidR="00985B21" w:rsidRPr="00CC4A0C">
        <w:rPr>
          <w:rFonts w:ascii="Arial" w:hAnsi="Arial" w:cs="Arial"/>
          <w:sz w:val="20"/>
          <w:szCs w:val="20"/>
        </w:rPr>
        <w:t>byl</w:t>
      </w:r>
      <w:r w:rsidRPr="00CC4A0C">
        <w:rPr>
          <w:rFonts w:ascii="Arial" w:hAnsi="Arial" w:cs="Arial"/>
          <w:sz w:val="20"/>
          <w:szCs w:val="20"/>
        </w:rPr>
        <w:t xml:space="preserve"> </w:t>
      </w:r>
      <w:r w:rsidR="00985B21" w:rsidRPr="00CC4A0C">
        <w:rPr>
          <w:rFonts w:ascii="Arial" w:hAnsi="Arial" w:cs="Arial"/>
          <w:sz w:val="20"/>
          <w:szCs w:val="20"/>
        </w:rPr>
        <w:t xml:space="preserve">nositelem </w:t>
      </w:r>
      <w:r w:rsidRPr="00CC4A0C">
        <w:rPr>
          <w:rFonts w:ascii="Arial" w:hAnsi="Arial" w:cs="Arial"/>
          <w:sz w:val="20"/>
          <w:szCs w:val="20"/>
        </w:rPr>
        <w:t>žadatel z</w:t>
      </w:r>
      <w:r w:rsidR="00985B21" w:rsidRPr="00CC4A0C">
        <w:rPr>
          <w:rFonts w:ascii="Arial" w:hAnsi="Arial" w:cs="Arial"/>
          <w:sz w:val="20"/>
          <w:szCs w:val="20"/>
        </w:rPr>
        <w:t xml:space="preserve"> Karlovarského kraje, ale </w:t>
      </w:r>
      <w:r w:rsidRPr="00CC4A0C">
        <w:rPr>
          <w:rFonts w:ascii="Arial" w:hAnsi="Arial" w:cs="Arial"/>
          <w:sz w:val="20"/>
          <w:szCs w:val="20"/>
        </w:rPr>
        <w:t xml:space="preserve">jelikož byly </w:t>
      </w:r>
      <w:r w:rsidR="00985B21" w:rsidRPr="00CC4A0C">
        <w:rPr>
          <w:rFonts w:ascii="Arial" w:hAnsi="Arial" w:cs="Arial"/>
          <w:sz w:val="20"/>
          <w:szCs w:val="20"/>
        </w:rPr>
        <w:t>realizovány na území Ústecké kraje, jsou</w:t>
      </w:r>
      <w:r w:rsidRPr="00CC4A0C">
        <w:rPr>
          <w:rFonts w:ascii="Arial" w:hAnsi="Arial" w:cs="Arial"/>
          <w:sz w:val="20"/>
          <w:szCs w:val="20"/>
        </w:rPr>
        <w:t xml:space="preserve"> právě do ÚK </w:t>
      </w:r>
      <w:r w:rsidR="00985B21" w:rsidRPr="00CC4A0C">
        <w:rPr>
          <w:rFonts w:ascii="Arial" w:hAnsi="Arial" w:cs="Arial"/>
          <w:sz w:val="20"/>
          <w:szCs w:val="20"/>
        </w:rPr>
        <w:t>započítány výstupy z těchto projektů.</w:t>
      </w:r>
    </w:p>
    <w:p w14:paraId="38A893A9" w14:textId="30623D60" w:rsidR="00042616" w:rsidRPr="00CC4A0C" w:rsidRDefault="00042616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Projekty se zpravidla zaměřovaly na snížení nezaměstnanosti dlouhodobě a opakovaně nezaměstnaných osob a zároveň osob s nízkou kvalifikací, dále jako komplexní nástroje pomoci cílové skupině osob pečujících o malé děti či zpřístupnění možnosti zaměstnání osobám se záznamem v Rejstříku tr</w:t>
      </w:r>
      <w:r w:rsidR="007034C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st</w:t>
      </w:r>
      <w:r w:rsidR="007034C6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a jejich zapojení do pracovního procesu.</w:t>
      </w:r>
    </w:p>
    <w:p w14:paraId="306D2AB3" w14:textId="77777777" w:rsidR="00985B21" w:rsidRPr="00597AFE" w:rsidRDefault="00985B21" w:rsidP="00C900A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4A101F2" w14:textId="77777777" w:rsidR="002A746B" w:rsidRPr="00597AFE" w:rsidRDefault="002A746B" w:rsidP="00C677F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II.D.2.2 a III.D.2.1 Podpora modernizace výuky a obnovy a rozvoje materiálně-technického zázemí škol a školských zařízení – vyhlášení specifických výzev IROP pro strukturálně postižené </w:t>
      </w:r>
      <w:r w:rsidRPr="00597AFE">
        <w:rPr>
          <w:rFonts w:ascii="Arial" w:hAnsi="Arial" w:cs="Arial"/>
          <w:b/>
          <w:bCs/>
          <w:sz w:val="20"/>
          <w:szCs w:val="20"/>
        </w:rPr>
        <w:lastRenderedPageBreak/>
        <w:t>regiony</w:t>
      </w:r>
      <w:r w:rsidR="00941B3E" w:rsidRPr="00597AFE">
        <w:rPr>
          <w:rFonts w:ascii="Arial" w:hAnsi="Arial" w:cs="Arial"/>
          <w:b/>
          <w:bCs/>
          <w:sz w:val="20"/>
          <w:szCs w:val="20"/>
        </w:rPr>
        <w:t xml:space="preserve">. </w:t>
      </w:r>
      <w:r w:rsidR="00941B3E" w:rsidRPr="00597AFE">
        <w:rPr>
          <w:rFonts w:ascii="Arial" w:hAnsi="Arial" w:cs="Arial"/>
          <w:sz w:val="20"/>
          <w:szCs w:val="20"/>
        </w:rPr>
        <w:t>Opatření je naplňováno realizací projektů z </w:t>
      </w:r>
      <w:r w:rsidR="00941B3E" w:rsidRPr="00597AFE">
        <w:rPr>
          <w:rFonts w:ascii="Arial" w:hAnsi="Arial" w:cs="Arial"/>
          <w:i/>
          <w:iCs/>
          <w:sz w:val="20"/>
          <w:szCs w:val="20"/>
        </w:rPr>
        <w:t xml:space="preserve">92. Výzvy </w:t>
      </w:r>
      <w:r w:rsidR="00EF743D" w:rsidRPr="00597AFE">
        <w:rPr>
          <w:rFonts w:ascii="Arial" w:hAnsi="Arial" w:cs="Arial"/>
          <w:i/>
          <w:iCs/>
          <w:sz w:val="20"/>
          <w:szCs w:val="20"/>
        </w:rPr>
        <w:t>IROP – Infrastruktura</w:t>
      </w:r>
      <w:r w:rsidR="00941B3E" w:rsidRPr="00597AFE">
        <w:rPr>
          <w:rFonts w:ascii="Arial" w:hAnsi="Arial" w:cs="Arial"/>
          <w:i/>
          <w:iCs/>
          <w:sz w:val="20"/>
          <w:szCs w:val="20"/>
        </w:rPr>
        <w:t xml:space="preserve"> základních škol pro uhelné regiony.</w:t>
      </w:r>
    </w:p>
    <w:p w14:paraId="7FD44F5E" w14:textId="77777777" w:rsidR="00941B3E" w:rsidRPr="00597AFE" w:rsidRDefault="00941B3E" w:rsidP="00C900A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796D4C5E" w14:textId="77777777" w:rsidR="00597AFE" w:rsidRDefault="00597AFE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06ECCB" w14:textId="0FCD2B6C" w:rsidR="00A56E14" w:rsidRPr="00597AFE" w:rsidRDefault="00A56E14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</w:t>
      </w:r>
      <w:r w:rsidR="00941B3E" w:rsidRPr="00597AFE">
        <w:rPr>
          <w:rFonts w:ascii="Arial" w:hAnsi="Arial" w:cs="Arial"/>
          <w:sz w:val="20"/>
          <w:szCs w:val="20"/>
        </w:rPr>
        <w:t>ndikátory</w:t>
      </w:r>
      <w:r w:rsidRPr="00597AFE">
        <w:rPr>
          <w:rFonts w:ascii="Arial" w:hAnsi="Arial" w:cs="Arial"/>
          <w:sz w:val="20"/>
          <w:szCs w:val="20"/>
        </w:rPr>
        <w:t xml:space="preserve"> z AP (a zároveň sledované indikátory z projektů)</w:t>
      </w:r>
      <w:r w:rsidR="00941B3E" w:rsidRPr="00597AFE">
        <w:rPr>
          <w:rFonts w:ascii="Arial" w:hAnsi="Arial" w:cs="Arial"/>
          <w:sz w:val="20"/>
          <w:szCs w:val="20"/>
        </w:rPr>
        <w:t>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A56E14" w:rsidRPr="00597AFE" w14:paraId="7368530D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8B6E3D7" w14:textId="77777777" w:rsidR="00A56E14" w:rsidRPr="00597AFE" w:rsidRDefault="00A56E14" w:rsidP="00C900A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podpořených škol</w:t>
            </w:r>
          </w:p>
        </w:tc>
        <w:tc>
          <w:tcPr>
            <w:tcW w:w="851" w:type="dxa"/>
          </w:tcPr>
          <w:p w14:paraId="3B4F7C82" w14:textId="7B2961CE" w:rsidR="00A56E14" w:rsidRPr="00DA32A7" w:rsidRDefault="0020537E" w:rsidP="0020537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937202">
              <w:rPr>
                <w:rFonts w:ascii="Arial" w:hAnsi="Arial" w:cs="Arial"/>
                <w:sz w:val="20"/>
                <w:szCs w:val="20"/>
              </w:rPr>
              <w:t>9</w:t>
            </w:r>
            <w:r w:rsidR="0085074D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A56E14" w:rsidRPr="00597AFE" w14:paraId="0753B2E4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4471309" w14:textId="77777777" w:rsidR="00A56E14" w:rsidRPr="00597AFE" w:rsidRDefault="00A56E14" w:rsidP="00A56E1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35B1F6BE" w14:textId="1DA54CA0" w:rsidR="00A56E14" w:rsidRPr="00DA32A7" w:rsidRDefault="0085074D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56E14" w:rsidRPr="00597AFE" w14:paraId="582FCD64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027C77" w14:textId="02CE8043" w:rsidR="00A56E14" w:rsidRPr="00597AFE" w:rsidRDefault="00A56E14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476DBE71" w14:textId="69794EB2" w:rsidR="00723124" w:rsidRPr="00DA32A7" w:rsidRDefault="00DA0ECC" w:rsidP="007231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5</w:t>
            </w:r>
            <w:r w:rsidR="008507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56E14" w:rsidRPr="00597AFE" w14:paraId="5CB421FF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E75516" w14:textId="593E31D2" w:rsidR="00A56E14" w:rsidRPr="00597AFE" w:rsidRDefault="00A56E14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11B80C14" w14:textId="77777777" w:rsidR="00A56E14" w:rsidRPr="00DA32A7" w:rsidRDefault="0020537E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6E14" w:rsidRPr="00DA32A7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56E14" w:rsidRPr="00597AFE" w14:paraId="2F6C796C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5891F76" w14:textId="77777777" w:rsidR="00A56E14" w:rsidRPr="00597AFE" w:rsidRDefault="00A56E14" w:rsidP="00A56E14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Kapacita podporovaných škol a školských zařízení</w:t>
            </w:r>
          </w:p>
        </w:tc>
        <w:tc>
          <w:tcPr>
            <w:tcW w:w="851" w:type="dxa"/>
          </w:tcPr>
          <w:p w14:paraId="7888B3F3" w14:textId="4E15E997" w:rsidR="00A56E14" w:rsidRPr="00DA32A7" w:rsidRDefault="00BD2FF4" w:rsidP="00B90D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32A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85074D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6A4B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5074D">
              <w:rPr>
                <w:rFonts w:ascii="Arial" w:hAnsi="Arial" w:cs="Arial"/>
                <w:b/>
                <w:bCs/>
                <w:sz w:val="20"/>
                <w:szCs w:val="20"/>
              </w:rPr>
              <w:t>67</w:t>
            </w:r>
            <w:r w:rsidR="0093720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A56E14" w:rsidRPr="00597AFE" w14:paraId="14342A64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F7AFFB8" w14:textId="77777777" w:rsidR="00A56E14" w:rsidRPr="00597AFE" w:rsidRDefault="00A56E14" w:rsidP="00A56E1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5CB12DBA" w14:textId="6E67A08C" w:rsidR="00A56E14" w:rsidRPr="00DA32A7" w:rsidRDefault="0085074D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A4B1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4B15">
              <w:rPr>
                <w:rFonts w:ascii="Arial" w:hAnsi="Arial" w:cs="Arial"/>
                <w:sz w:val="20"/>
                <w:szCs w:val="20"/>
              </w:rPr>
              <w:t>049</w:t>
            </w:r>
          </w:p>
        </w:tc>
      </w:tr>
      <w:tr w:rsidR="00A56E14" w:rsidRPr="00597AFE" w14:paraId="2182E08A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04AEE6F" w14:textId="58469BF8" w:rsidR="00A56E14" w:rsidRPr="00597AFE" w:rsidRDefault="00A56E14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45A9E354" w14:textId="2E49B2FE" w:rsidR="00A56E14" w:rsidRPr="00DA32A7" w:rsidRDefault="00B90D9E" w:rsidP="002053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</w:t>
            </w:r>
            <w:r w:rsidR="00EF1F61" w:rsidRPr="00DA32A7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85074D">
              <w:rPr>
                <w:rFonts w:ascii="Arial" w:hAnsi="Arial" w:cs="Arial"/>
                <w:sz w:val="20"/>
                <w:szCs w:val="20"/>
              </w:rPr>
              <w:t>52</w:t>
            </w:r>
            <w:r w:rsidR="00BD2FF4" w:rsidRPr="00DA32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56E14" w:rsidRPr="00597AFE" w14:paraId="0A5B55EE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4ECCB80" w14:textId="37770E6A" w:rsidR="00A56E14" w:rsidRPr="00597AFE" w:rsidRDefault="00A56E14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7B47BE45" w14:textId="77777777" w:rsidR="00A56E14" w:rsidRPr="00DA32A7" w:rsidRDefault="0020537E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3 104</w:t>
            </w:r>
          </w:p>
        </w:tc>
      </w:tr>
      <w:tr w:rsidR="00A56E14" w:rsidRPr="00597AFE" w14:paraId="31C2ABF8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CFC3E7C" w14:textId="77777777" w:rsidR="00A56E14" w:rsidRPr="00597AFE" w:rsidRDefault="00A56E14" w:rsidP="00A56E14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vybavených laboratoří a odborných učeben</w:t>
            </w:r>
          </w:p>
        </w:tc>
        <w:tc>
          <w:tcPr>
            <w:tcW w:w="851" w:type="dxa"/>
          </w:tcPr>
          <w:p w14:paraId="23F60FA3" w14:textId="17094B70" w:rsidR="00A56E14" w:rsidRPr="00DA32A7" w:rsidRDefault="00EF1F61" w:rsidP="002053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32A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85074D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</w:tr>
      <w:tr w:rsidR="00A56E14" w:rsidRPr="00597AFE" w14:paraId="05D4E7C2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44C1513" w14:textId="77777777" w:rsidR="00A56E14" w:rsidRPr="00597AFE" w:rsidRDefault="00A56E14" w:rsidP="00A56E1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45D1346C" w14:textId="5A9FC55A" w:rsidR="0084622C" w:rsidRPr="00DA32A7" w:rsidRDefault="0085074D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9372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56E14" w:rsidRPr="00597AFE" w14:paraId="2D0B7694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3CBACC1" w14:textId="30369D18" w:rsidR="00A56E14" w:rsidRPr="00597AFE" w:rsidRDefault="00A56E14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47AF598E" w14:textId="762AC3FA" w:rsidR="00A56E14" w:rsidRPr="00DA32A7" w:rsidRDefault="00723124" w:rsidP="002053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</w:t>
            </w:r>
            <w:r w:rsidR="0085074D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A56E14" w:rsidRPr="00597AFE" w14:paraId="6A5B5422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D0C503" w14:textId="12F22DB1" w:rsidR="00A56E14" w:rsidRPr="00597AFE" w:rsidRDefault="00A56E14" w:rsidP="00A56E14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851" w:type="dxa"/>
          </w:tcPr>
          <w:p w14:paraId="0322D53E" w14:textId="77777777" w:rsidR="00A56E14" w:rsidRPr="00DA32A7" w:rsidRDefault="00AC5017" w:rsidP="002053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3</w:t>
            </w:r>
            <w:r w:rsidR="0020537E" w:rsidRPr="00DA32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7D340BB" w14:textId="3FD5E8E0" w:rsidR="000E3773" w:rsidRPr="00597AFE" w:rsidRDefault="000E3773" w:rsidP="00286FB0">
      <w:pPr>
        <w:tabs>
          <w:tab w:val="left" w:pos="7452"/>
        </w:tabs>
        <w:rPr>
          <w:rFonts w:ascii="Arial" w:hAnsi="Arial" w:cs="Arial"/>
          <w:sz w:val="20"/>
          <w:szCs w:val="20"/>
          <w:u w:val="single"/>
        </w:rPr>
      </w:pPr>
    </w:p>
    <w:p w14:paraId="3E67217F" w14:textId="1ED01863" w:rsidR="000120A9" w:rsidRDefault="000120A9" w:rsidP="00597AFE">
      <w:pPr>
        <w:pStyle w:val="Nadpis2"/>
        <w:rPr>
          <w:b/>
          <w:bCs/>
        </w:rPr>
      </w:pPr>
      <w:r w:rsidRPr="00597AFE">
        <w:rPr>
          <w:b/>
          <w:bCs/>
        </w:rPr>
        <w:t>Pilíř E</w:t>
      </w:r>
    </w:p>
    <w:p w14:paraId="30445932" w14:textId="77777777" w:rsidR="00597AFE" w:rsidRPr="00597AFE" w:rsidRDefault="00597AFE" w:rsidP="00597AFE"/>
    <w:p w14:paraId="157CDDA1" w14:textId="0573626C" w:rsidR="002876BC" w:rsidRPr="00A966C4" w:rsidRDefault="002876BC" w:rsidP="00C677F1">
      <w:pPr>
        <w:jc w:val="both"/>
        <w:rPr>
          <w:rFonts w:ascii="Arial" w:hAnsi="Arial" w:cs="Arial"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>II.E.2.1</w:t>
      </w:r>
      <w:r w:rsidR="00C51036" w:rsidRPr="00597AFE">
        <w:rPr>
          <w:rFonts w:ascii="Arial" w:hAnsi="Arial" w:cs="Arial"/>
          <w:b/>
          <w:bCs/>
          <w:sz w:val="20"/>
          <w:szCs w:val="20"/>
        </w:rPr>
        <w:t xml:space="preserve"> </w:t>
      </w:r>
      <w:r w:rsidR="00C51036" w:rsidRPr="00597AFE">
        <w:rPr>
          <w:rFonts w:ascii="Arial" w:hAnsi="Arial" w:cs="Arial"/>
          <w:sz w:val="20"/>
          <w:szCs w:val="20"/>
        </w:rPr>
        <w:t xml:space="preserve">Podpora zdravotnictví ve strukturálně postižených regionech – obnova rozvoje materiálně-technické základny – část A. Opatření je naplňováno realizací projektů z </w:t>
      </w:r>
      <w:r w:rsidR="00C51036" w:rsidRPr="00597AFE">
        <w:rPr>
          <w:rFonts w:ascii="Arial" w:hAnsi="Arial" w:cs="Arial"/>
          <w:i/>
          <w:iCs/>
          <w:sz w:val="20"/>
          <w:szCs w:val="20"/>
        </w:rPr>
        <w:t xml:space="preserve">Realokace IROP </w:t>
      </w:r>
      <w:r w:rsidR="00C05AD0">
        <w:rPr>
          <w:rFonts w:ascii="Arial" w:hAnsi="Arial" w:cs="Arial"/>
          <w:i/>
          <w:iCs/>
          <w:sz w:val="20"/>
          <w:szCs w:val="20"/>
        </w:rPr>
        <w:t>SC</w:t>
      </w:r>
      <w:r w:rsidR="00C51036" w:rsidRPr="00597AFE">
        <w:rPr>
          <w:rFonts w:ascii="Arial" w:hAnsi="Arial" w:cs="Arial"/>
          <w:i/>
          <w:iCs/>
          <w:sz w:val="20"/>
          <w:szCs w:val="20"/>
        </w:rPr>
        <w:t xml:space="preserve"> 2.3 „Rozvoj infrastruktury pro poskytování zdravotních služeb a péče o zdraví“.</w:t>
      </w:r>
      <w:r w:rsidR="00A966C4">
        <w:rPr>
          <w:rFonts w:ascii="Arial" w:hAnsi="Arial" w:cs="Arial"/>
          <w:i/>
          <w:iCs/>
          <w:sz w:val="20"/>
          <w:szCs w:val="20"/>
        </w:rPr>
        <w:t xml:space="preserve"> </w:t>
      </w:r>
      <w:r w:rsidR="00A966C4">
        <w:rPr>
          <w:rFonts w:ascii="Arial" w:hAnsi="Arial" w:cs="Arial"/>
          <w:iCs/>
          <w:sz w:val="20"/>
          <w:szCs w:val="20"/>
        </w:rPr>
        <w:t>Hlavním cílem opatření však zůstává vytvoření dlouhodobého finančního zdroje, který umožní průběžně modernizovat materiálovou základnu krajského zdravotnictví, tedy i pomocných provozů těchto zařízení.</w:t>
      </w:r>
    </w:p>
    <w:p w14:paraId="6310BF21" w14:textId="34819FD0" w:rsidR="00C27A27" w:rsidRPr="00597AFE" w:rsidRDefault="00C27A27" w:rsidP="00C5103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z AP (a zároveň sledované indikátory z projektů):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851"/>
      </w:tblGrid>
      <w:tr w:rsidR="00C27A27" w:rsidRPr="00597AFE" w14:paraId="54B7B006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48142E9" w14:textId="77777777" w:rsidR="00C27A27" w:rsidRPr="00597AFE" w:rsidRDefault="00C27A27" w:rsidP="00C51036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podpořených zdravotnických zařízení</w:t>
            </w:r>
          </w:p>
        </w:tc>
        <w:tc>
          <w:tcPr>
            <w:tcW w:w="851" w:type="dxa"/>
          </w:tcPr>
          <w:p w14:paraId="3DF0AA07" w14:textId="6C254E87" w:rsidR="00C27A27" w:rsidRPr="00DA32A7" w:rsidRDefault="00DA32A7" w:rsidP="00225A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C27A27" w:rsidRPr="00DA32A7">
              <w:rPr>
                <w:rFonts w:ascii="Arial" w:hAnsi="Arial" w:cs="Arial"/>
                <w:sz w:val="20"/>
                <w:szCs w:val="20"/>
              </w:rPr>
              <w:t>1</w:t>
            </w:r>
            <w:r w:rsidR="001C49C5" w:rsidRPr="00DA32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C27A27" w:rsidRPr="00597AFE" w14:paraId="2A7E0A33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5E8BC16" w14:textId="77777777" w:rsidR="00C27A27" w:rsidRPr="00597AFE" w:rsidRDefault="00C27A27" w:rsidP="00C27A27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6C844CAA" w14:textId="1F3DD3E6" w:rsidR="00C27A27" w:rsidRPr="00DA32A7" w:rsidRDefault="00DA32A7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C27A27" w:rsidRPr="00DA32A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C27A27" w:rsidRPr="00597AFE" w14:paraId="244D7D5B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05A047E" w14:textId="348F43F3" w:rsidR="00C27A27" w:rsidRPr="00597AFE" w:rsidRDefault="00C27A27" w:rsidP="00C27A27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586B37EE" w14:textId="2477955D" w:rsidR="00C27A27" w:rsidRPr="00DA32A7" w:rsidRDefault="00DA32A7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1C49C5" w:rsidRPr="00DA32A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27A27" w:rsidRPr="00597AFE" w14:paraId="2DB882C0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D9B57F8" w14:textId="77777777" w:rsidR="00C27A27" w:rsidRPr="00597AFE" w:rsidRDefault="00C27A27" w:rsidP="00C27A2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pořízených přístrojů a zařízení</w:t>
            </w:r>
          </w:p>
        </w:tc>
        <w:tc>
          <w:tcPr>
            <w:tcW w:w="851" w:type="dxa"/>
          </w:tcPr>
          <w:p w14:paraId="1B8A8FBA" w14:textId="65335B22" w:rsidR="00C27A27" w:rsidRPr="00DA32A7" w:rsidRDefault="004E64D6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32A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DA32A7" w:rsidRPr="00DA32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C49C5" w:rsidRPr="00DA32A7">
              <w:rPr>
                <w:rFonts w:ascii="Arial" w:hAnsi="Arial" w:cs="Arial"/>
                <w:b/>
                <w:bCs/>
                <w:sz w:val="20"/>
                <w:szCs w:val="20"/>
              </w:rPr>
              <w:t>457</w:t>
            </w:r>
          </w:p>
        </w:tc>
      </w:tr>
      <w:tr w:rsidR="00C27A27" w:rsidRPr="00597AFE" w14:paraId="5E4770E9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A7CD1B9" w14:textId="77777777" w:rsidR="00C27A27" w:rsidRPr="00597AFE" w:rsidRDefault="00C27A27" w:rsidP="00C27A27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851" w:type="dxa"/>
          </w:tcPr>
          <w:p w14:paraId="4186751B" w14:textId="627A3873" w:rsidR="00C27A27" w:rsidRPr="00DA32A7" w:rsidRDefault="00DA32A7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27A27" w:rsidRPr="00DA32A7">
              <w:rPr>
                <w:rFonts w:ascii="Arial" w:hAnsi="Arial" w:cs="Arial"/>
                <w:sz w:val="20"/>
                <w:szCs w:val="20"/>
              </w:rPr>
              <w:t>604</w:t>
            </w:r>
          </w:p>
        </w:tc>
      </w:tr>
      <w:tr w:rsidR="00C27A27" w:rsidRPr="00597AFE" w14:paraId="1C6CD8C6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5C38E42" w14:textId="4EA07444" w:rsidR="00C27A27" w:rsidRPr="00597AFE" w:rsidRDefault="00C27A27" w:rsidP="00C27A27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851" w:type="dxa"/>
          </w:tcPr>
          <w:p w14:paraId="6A355E3A" w14:textId="346011CE" w:rsidR="00C27A27" w:rsidRPr="00DA32A7" w:rsidRDefault="00DA32A7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C49C5" w:rsidRPr="00DA32A7">
              <w:rPr>
                <w:rFonts w:ascii="Arial" w:hAnsi="Arial" w:cs="Arial"/>
                <w:sz w:val="20"/>
                <w:szCs w:val="20"/>
              </w:rPr>
              <w:t>853</w:t>
            </w:r>
          </w:p>
        </w:tc>
      </w:tr>
    </w:tbl>
    <w:p w14:paraId="5A182CDD" w14:textId="77777777" w:rsidR="00140D09" w:rsidRPr="00597AFE" w:rsidRDefault="00140D09" w:rsidP="00C5103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59F12C" w14:textId="23A48B73" w:rsidR="000120A9" w:rsidRDefault="000120A9" w:rsidP="00597AFE">
      <w:pPr>
        <w:pStyle w:val="Nadpis2"/>
        <w:rPr>
          <w:b/>
          <w:bCs/>
        </w:rPr>
      </w:pPr>
      <w:r w:rsidRPr="00597AFE">
        <w:rPr>
          <w:b/>
          <w:bCs/>
        </w:rPr>
        <w:t>Pilíř F</w:t>
      </w:r>
    </w:p>
    <w:p w14:paraId="7A869224" w14:textId="77777777" w:rsidR="00597AFE" w:rsidRPr="00597AFE" w:rsidRDefault="00597AFE" w:rsidP="00597AFE"/>
    <w:p w14:paraId="7B85F29B" w14:textId="77777777" w:rsidR="00FC65B7" w:rsidRPr="00597AFE" w:rsidRDefault="000120A9" w:rsidP="000120A9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I.F.1.6 Podpora programu Revitalizace Krušných hor (Ústecký i Karlovarský kraj). </w:t>
      </w:r>
      <w:r w:rsidRPr="00597AFE">
        <w:rPr>
          <w:rFonts w:ascii="Arial" w:hAnsi="Arial" w:cs="Arial"/>
          <w:sz w:val="20"/>
          <w:szCs w:val="20"/>
        </w:rPr>
        <w:t xml:space="preserve">Opatření je naplňováno přímo programem </w:t>
      </w:r>
      <w:r w:rsidRPr="00597AFE">
        <w:rPr>
          <w:rFonts w:ascii="Arial" w:hAnsi="Arial" w:cs="Arial"/>
          <w:i/>
          <w:iCs/>
          <w:sz w:val="20"/>
          <w:szCs w:val="20"/>
        </w:rPr>
        <w:t>Revitalizace Krušných hor.</w:t>
      </w:r>
    </w:p>
    <w:p w14:paraId="5CB92B67" w14:textId="77777777" w:rsidR="000120A9" w:rsidRPr="00597AFE" w:rsidRDefault="000120A9" w:rsidP="000120A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34DC8B" w14:textId="666B1140" w:rsidR="002B6311" w:rsidRPr="00597AFE" w:rsidRDefault="00502C6A" w:rsidP="00502C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z AP (a zároveň sledované indikátory z projektů):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7225"/>
        <w:gridCol w:w="1134"/>
      </w:tblGrid>
      <w:tr w:rsidR="007D289E" w:rsidRPr="00597AFE" w14:paraId="4AFDD90B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225" w:type="dxa"/>
          </w:tcPr>
          <w:p w14:paraId="23FD86B5" w14:textId="77777777" w:rsidR="007D289E" w:rsidRPr="00550EB4" w:rsidRDefault="007D289E" w:rsidP="000120A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Počty projektů revitalizace (především na přeměnu/výchovu náhradních dřevin) podaných jednotlivými kategoriemi žadatelů o dotaci (jednotky)</w:t>
            </w:r>
          </w:p>
        </w:tc>
        <w:tc>
          <w:tcPr>
            <w:tcW w:w="1134" w:type="dxa"/>
          </w:tcPr>
          <w:p w14:paraId="502588CC" w14:textId="0BF3E940" w:rsidR="007D289E" w:rsidRPr="00550EB4" w:rsidRDefault="0048252E" w:rsidP="00CB585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2</w:t>
            </w:r>
            <w:r w:rsidR="00493F2D" w:rsidRPr="00550EB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D289E" w:rsidRPr="00597AFE" w14:paraId="10468523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077C5A29" w14:textId="05FBE5E6" w:rsidR="007D289E" w:rsidRPr="00597AFE" w:rsidRDefault="007D289E" w:rsidP="007D289E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8B4F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1134" w:type="dxa"/>
          </w:tcPr>
          <w:p w14:paraId="489B7E3B" w14:textId="5F8E26C4" w:rsidR="007D289E" w:rsidRPr="00493F2D" w:rsidRDefault="00493F2D" w:rsidP="00CB58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3F2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7D289E" w:rsidRPr="00597AFE" w14:paraId="2D9435A1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7C6E522C" w14:textId="77777777" w:rsidR="007D289E" w:rsidRPr="00597AFE" w:rsidRDefault="007D289E" w:rsidP="007D289E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1134" w:type="dxa"/>
          </w:tcPr>
          <w:p w14:paraId="2F53669C" w14:textId="1E892A39" w:rsidR="007D289E" w:rsidRPr="00493F2D" w:rsidRDefault="00EA3509" w:rsidP="00CB58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3F2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D289E" w:rsidRPr="00597AFE" w14:paraId="3B930B10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29DA3BDA" w14:textId="77777777" w:rsidR="007D289E" w:rsidRPr="00550EB4" w:rsidRDefault="007D289E" w:rsidP="007D289E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550EB4">
              <w:rPr>
                <w:rFonts w:ascii="Arial" w:hAnsi="Arial" w:cs="Arial"/>
                <w:sz w:val="20"/>
                <w:szCs w:val="20"/>
              </w:rPr>
              <w:t>Plošný rozsah projektů revitalizace (především na přeměnu/výchovu náhradních dřevin) podaných jednotlivými kategoriemi žadatelů o dotaci (ha)</w:t>
            </w:r>
          </w:p>
        </w:tc>
        <w:tc>
          <w:tcPr>
            <w:tcW w:w="1134" w:type="dxa"/>
          </w:tcPr>
          <w:p w14:paraId="3436F649" w14:textId="5EBC8ACA" w:rsidR="007D289E" w:rsidRPr="00550EB4" w:rsidRDefault="00493F2D" w:rsidP="00CB58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0E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8B4F4C" w:rsidRPr="00550E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50EB4">
              <w:rPr>
                <w:rFonts w:ascii="Arial" w:hAnsi="Arial" w:cs="Arial"/>
                <w:b/>
                <w:bCs/>
                <w:sz w:val="20"/>
                <w:szCs w:val="20"/>
              </w:rPr>
              <w:t>598</w:t>
            </w:r>
          </w:p>
        </w:tc>
      </w:tr>
      <w:tr w:rsidR="007D289E" w:rsidRPr="00597AFE" w14:paraId="01DA661F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131C35AA" w14:textId="1E947851" w:rsidR="007D289E" w:rsidRPr="00597AFE" w:rsidRDefault="007D289E" w:rsidP="007D289E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8B4F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1134" w:type="dxa"/>
          </w:tcPr>
          <w:p w14:paraId="3C436DDC" w14:textId="02254AD1" w:rsidR="007D289E" w:rsidRPr="00493F2D" w:rsidRDefault="00493F2D" w:rsidP="00CB585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3F2D">
              <w:rPr>
                <w:rFonts w:ascii="Arial" w:hAnsi="Arial" w:cs="Arial"/>
                <w:sz w:val="20"/>
                <w:szCs w:val="20"/>
              </w:rPr>
              <w:t>1</w:t>
            </w:r>
            <w:r w:rsidR="008B4F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3F2D">
              <w:rPr>
                <w:rFonts w:ascii="Arial" w:hAnsi="Arial" w:cs="Arial"/>
                <w:sz w:val="20"/>
                <w:szCs w:val="20"/>
              </w:rPr>
              <w:t>589,89</w:t>
            </w:r>
          </w:p>
        </w:tc>
      </w:tr>
      <w:tr w:rsidR="007D289E" w:rsidRPr="00597AFE" w14:paraId="591753D7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5" w:type="dxa"/>
          </w:tcPr>
          <w:p w14:paraId="328C5488" w14:textId="77777777" w:rsidR="007D289E" w:rsidRPr="00597AFE" w:rsidRDefault="007D289E" w:rsidP="007D289E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1134" w:type="dxa"/>
          </w:tcPr>
          <w:p w14:paraId="4C93B1C3" w14:textId="2AA5D035" w:rsidR="007D289E" w:rsidRPr="00493F2D" w:rsidRDefault="00EA3509" w:rsidP="00CB585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93F2D">
              <w:rPr>
                <w:rFonts w:ascii="Arial" w:hAnsi="Arial" w:cs="Arial"/>
                <w:sz w:val="20"/>
                <w:szCs w:val="20"/>
              </w:rPr>
              <w:t>8,11</w:t>
            </w:r>
          </w:p>
        </w:tc>
      </w:tr>
    </w:tbl>
    <w:p w14:paraId="6EF83C50" w14:textId="77777777" w:rsidR="00253CF9" w:rsidRPr="00597AFE" w:rsidRDefault="00253CF9" w:rsidP="000120A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2EC7C4" w14:textId="77777777" w:rsidR="00FC65B7" w:rsidRPr="00597AFE" w:rsidRDefault="00FC65B7" w:rsidP="00C900A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1B28A09" w14:textId="77777777" w:rsidR="00253CF9" w:rsidRPr="00597AFE" w:rsidRDefault="00253CF9" w:rsidP="00C677F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lastRenderedPageBreak/>
        <w:t xml:space="preserve">I.F.2.1 Zhodnocení a případná úprava podmínek programu Demolice budov v sociálně vyloučených lokalitách. </w:t>
      </w:r>
      <w:r w:rsidRPr="00597AFE">
        <w:rPr>
          <w:rFonts w:ascii="Arial" w:hAnsi="Arial" w:cs="Arial"/>
          <w:sz w:val="20"/>
          <w:szCs w:val="20"/>
        </w:rPr>
        <w:t>Opatření je naplňováno realizací projektů z </w:t>
      </w:r>
      <w:r w:rsidR="0009632A" w:rsidRPr="00597AFE">
        <w:rPr>
          <w:rFonts w:ascii="Arial" w:hAnsi="Arial" w:cs="Arial"/>
          <w:sz w:val="20"/>
          <w:szCs w:val="20"/>
        </w:rPr>
        <w:t>pod</w:t>
      </w:r>
      <w:r w:rsidRPr="00597AFE">
        <w:rPr>
          <w:rFonts w:ascii="Arial" w:hAnsi="Arial" w:cs="Arial"/>
          <w:sz w:val="20"/>
          <w:szCs w:val="20"/>
        </w:rPr>
        <w:t xml:space="preserve">programu </w:t>
      </w:r>
      <w:r w:rsidRPr="00597AFE">
        <w:rPr>
          <w:rFonts w:ascii="Arial" w:hAnsi="Arial" w:cs="Arial"/>
          <w:i/>
          <w:iCs/>
          <w:sz w:val="20"/>
          <w:szCs w:val="20"/>
        </w:rPr>
        <w:t>Demolice budov v sociálně vyloučených lokalitách</w:t>
      </w:r>
      <w:r w:rsidR="0009632A" w:rsidRPr="00597AFE">
        <w:rPr>
          <w:rFonts w:ascii="Arial" w:hAnsi="Arial" w:cs="Arial"/>
          <w:i/>
          <w:iCs/>
          <w:sz w:val="20"/>
          <w:szCs w:val="20"/>
        </w:rPr>
        <w:t xml:space="preserve"> (Program revitalizace území, MMR).</w:t>
      </w:r>
    </w:p>
    <w:p w14:paraId="49666152" w14:textId="77777777" w:rsidR="00253CF9" w:rsidRPr="00597AFE" w:rsidRDefault="00253CF9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B06FC3" w14:textId="24AB6FB6" w:rsidR="0009632A" w:rsidRPr="00597AFE" w:rsidRDefault="0009632A" w:rsidP="0009632A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v AP1 (zatím nesledované</w:t>
      </w:r>
      <w:r w:rsidR="00CB5854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597AFE">
        <w:rPr>
          <w:rFonts w:ascii="Arial" w:hAnsi="Arial" w:cs="Arial"/>
          <w:sz w:val="20"/>
          <w:szCs w:val="20"/>
        </w:rPr>
        <w:t>)</w:t>
      </w:r>
    </w:p>
    <w:p w14:paraId="46BC7809" w14:textId="3A9940F0" w:rsidR="0009632A" w:rsidRPr="00597AFE" w:rsidRDefault="0009632A" w:rsidP="0009632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Zvýšení objemu investic</w:t>
      </w:r>
    </w:p>
    <w:p w14:paraId="4755D633" w14:textId="77777777" w:rsidR="0009632A" w:rsidRPr="00597AFE" w:rsidRDefault="0009632A" w:rsidP="0009632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Zvýšení počtu nově vytvořených pracovních míst </w:t>
      </w:r>
    </w:p>
    <w:p w14:paraId="43072FB4" w14:textId="77777777" w:rsidR="0009632A" w:rsidRPr="00597AFE" w:rsidRDefault="0009632A" w:rsidP="0009632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Zvýšení počtu návštěvníků a uživatelů a nabídky funkcí v prostorách a místech</w:t>
      </w:r>
    </w:p>
    <w:p w14:paraId="05BDE9AE" w14:textId="245CFB13" w:rsidR="0009632A" w:rsidRPr="00597AFE" w:rsidRDefault="0009632A" w:rsidP="0009632A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Snížení sociopatologických jevů</w:t>
      </w:r>
    </w:p>
    <w:p w14:paraId="1E18D11C" w14:textId="45AB7770" w:rsidR="0013723F" w:rsidRPr="00597AFE" w:rsidRDefault="00A21889" w:rsidP="00DA32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13723F" w:rsidRPr="00597AFE">
        <w:rPr>
          <w:rFonts w:ascii="Arial" w:hAnsi="Arial" w:cs="Arial"/>
          <w:sz w:val="20"/>
          <w:szCs w:val="20"/>
        </w:rPr>
        <w:t xml:space="preserve"> většiny projektů na demolice se s výraznými investicemi na nově vzniklém prázdném prostoru nepočítá, obce tam nechávají volná prostranství, malé parčíky, případně vybudují dětské hřiště či </w:t>
      </w:r>
      <w:r>
        <w:rPr>
          <w:rFonts w:ascii="Arial" w:hAnsi="Arial" w:cs="Arial"/>
          <w:sz w:val="20"/>
          <w:szCs w:val="20"/>
        </w:rPr>
        <w:t xml:space="preserve">nové parkovací plochy, kterých bývá nedostatek. Výrazně se tak </w:t>
      </w:r>
      <w:proofErr w:type="gramStart"/>
      <w:r>
        <w:rPr>
          <w:rFonts w:ascii="Arial" w:hAnsi="Arial" w:cs="Arial"/>
          <w:sz w:val="20"/>
          <w:szCs w:val="20"/>
        </w:rPr>
        <w:t>zlepší</w:t>
      </w:r>
      <w:proofErr w:type="gramEnd"/>
      <w:r>
        <w:rPr>
          <w:rFonts w:ascii="Arial" w:hAnsi="Arial" w:cs="Arial"/>
          <w:sz w:val="20"/>
          <w:szCs w:val="20"/>
        </w:rPr>
        <w:t xml:space="preserve"> i vzhled a bezpečnost revitalizované oblasti. Cílem většiny projektů bylo plnohodnotně připravit území tak, aby se dalo plnohodnotně využít v dalším rozvoji obce a zamezit tím vzniku oblasti se sociální segregací.</w:t>
      </w:r>
    </w:p>
    <w:p w14:paraId="4893E72B" w14:textId="56E9E7B6" w:rsidR="0009632A" w:rsidRPr="00222C9C" w:rsidRDefault="00CE48EE" w:rsidP="00225A8C">
      <w:pPr>
        <w:tabs>
          <w:tab w:val="left" w:pos="3048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222C9C">
        <w:rPr>
          <w:rFonts w:ascii="Arial" w:hAnsi="Arial" w:cs="Arial"/>
          <w:bCs/>
          <w:sz w:val="20"/>
          <w:szCs w:val="20"/>
        </w:rPr>
        <w:t>Hlavní sledované indikátory</w:t>
      </w:r>
      <w:r w:rsidR="00222C9C">
        <w:rPr>
          <w:rFonts w:ascii="Arial" w:hAnsi="Arial" w:cs="Arial"/>
          <w:bCs/>
          <w:sz w:val="20"/>
          <w:szCs w:val="20"/>
        </w:rPr>
        <w:t>:</w:t>
      </w:r>
      <w:r w:rsidR="00225A8C">
        <w:rPr>
          <w:rFonts w:ascii="Arial" w:hAnsi="Arial" w:cs="Arial"/>
          <w:sz w:val="20"/>
          <w:szCs w:val="20"/>
        </w:rPr>
        <w:tab/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993"/>
      </w:tblGrid>
      <w:tr w:rsidR="00CE48EE" w:rsidRPr="00597AFE" w14:paraId="1CB77366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6D183C14" w14:textId="77777777" w:rsidR="00CE48EE" w:rsidRPr="00597AFE" w:rsidRDefault="00CE48EE" w:rsidP="00324DD3">
            <w:pPr>
              <w:rPr>
                <w:rFonts w:ascii="Arial" w:hAnsi="Arial" w:cs="Arial"/>
                <w:b w:val="0"/>
                <w:bCs w:val="0"/>
                <w:color w:val="00B05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odstraněných objektů</w:t>
            </w:r>
          </w:p>
        </w:tc>
        <w:tc>
          <w:tcPr>
            <w:tcW w:w="993" w:type="dxa"/>
          </w:tcPr>
          <w:p w14:paraId="55C5B4D7" w14:textId="3C07CA8A" w:rsidR="00CE48EE" w:rsidRPr="00DA32A7" w:rsidRDefault="004E335A" w:rsidP="00DA32A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6</w:t>
            </w:r>
            <w:r w:rsidR="00BE75D5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CE48EE" w:rsidRPr="00597AFE" w14:paraId="583AF26E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4D2DAFC" w14:textId="77777777" w:rsidR="00CE48EE" w:rsidRPr="00597AFE" w:rsidRDefault="00CE48EE" w:rsidP="00324DD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993" w:type="dxa"/>
          </w:tcPr>
          <w:p w14:paraId="6827C199" w14:textId="5412B027" w:rsidR="00CE48EE" w:rsidRPr="00DA32A7" w:rsidRDefault="00BE75D5" w:rsidP="00DA32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CE48EE" w:rsidRPr="00597AFE" w14:paraId="4F8AA7A0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8735CB8" w14:textId="302D7C1D" w:rsidR="00CE48EE" w:rsidRPr="00597AFE" w:rsidRDefault="00CE48EE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993" w:type="dxa"/>
          </w:tcPr>
          <w:p w14:paraId="2CB8FB3A" w14:textId="77777777" w:rsidR="00751D32" w:rsidRPr="00DA32A7" w:rsidRDefault="00CE48EE" w:rsidP="00DA32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</w:t>
            </w:r>
            <w:r w:rsidR="00751D32" w:rsidRPr="00DA32A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E48EE" w:rsidRPr="00597AFE" w14:paraId="476F73AD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4D90E0" w14:textId="17557A0C" w:rsidR="00CE48EE" w:rsidRPr="00597AFE" w:rsidRDefault="00CE48EE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993" w:type="dxa"/>
          </w:tcPr>
          <w:p w14:paraId="5BBB9C7E" w14:textId="77777777" w:rsidR="00CE48EE" w:rsidRPr="00DA32A7" w:rsidRDefault="00CE48EE" w:rsidP="00DA32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CE48EE" w:rsidRPr="00597AFE" w14:paraId="19B25A51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9B58EE3" w14:textId="77777777" w:rsidR="00CE48EE" w:rsidRPr="00597AFE" w:rsidRDefault="00CE48EE" w:rsidP="00324DD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Revitalizovaná plocha v m</w:t>
            </w:r>
            <w:r w:rsidRPr="00CB58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3" w:type="dxa"/>
          </w:tcPr>
          <w:p w14:paraId="6537688A" w14:textId="643DABB8" w:rsidR="00CE48EE" w:rsidRPr="00DA32A7" w:rsidRDefault="0085074D" w:rsidP="00DA32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BE75D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E75D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08</w:t>
            </w:r>
          </w:p>
        </w:tc>
      </w:tr>
      <w:tr w:rsidR="00CE48EE" w:rsidRPr="00597AFE" w14:paraId="02818F73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A3F8348" w14:textId="77777777" w:rsidR="00CE48EE" w:rsidRPr="00597AFE" w:rsidRDefault="00CE48EE" w:rsidP="00324DD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993" w:type="dxa"/>
          </w:tcPr>
          <w:p w14:paraId="219C414B" w14:textId="2A76432F" w:rsidR="00CE48EE" w:rsidRPr="00DA32A7" w:rsidRDefault="0085074D" w:rsidP="00DA32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E75D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75D5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</w:tr>
      <w:tr w:rsidR="00CE48EE" w:rsidRPr="00597AFE" w14:paraId="60C3D3E1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F68E0E8" w14:textId="428B59D7" w:rsidR="00CE48EE" w:rsidRPr="00597AFE" w:rsidRDefault="00CE48EE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993" w:type="dxa"/>
          </w:tcPr>
          <w:p w14:paraId="3588EB9E" w14:textId="77777777" w:rsidR="00CE48EE" w:rsidRPr="00DA32A7" w:rsidRDefault="00CE48EE" w:rsidP="00DA32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5 815</w:t>
            </w:r>
          </w:p>
        </w:tc>
      </w:tr>
      <w:tr w:rsidR="00CE48EE" w:rsidRPr="00597AFE" w14:paraId="3E1EA11D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3A44384" w14:textId="6A566B96" w:rsidR="00CE48EE" w:rsidRPr="00597AFE" w:rsidRDefault="00CE48EE" w:rsidP="00324DD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993" w:type="dxa"/>
          </w:tcPr>
          <w:p w14:paraId="5FBF048E" w14:textId="77777777" w:rsidR="00CE48EE" w:rsidRPr="00DA32A7" w:rsidRDefault="00CE48EE" w:rsidP="00DA32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A32A7">
              <w:rPr>
                <w:rFonts w:ascii="Arial" w:hAnsi="Arial" w:cs="Arial"/>
                <w:sz w:val="20"/>
                <w:szCs w:val="20"/>
              </w:rPr>
              <w:t>11 702</w:t>
            </w:r>
          </w:p>
        </w:tc>
      </w:tr>
    </w:tbl>
    <w:p w14:paraId="0064DF67" w14:textId="77777777" w:rsidR="00974724" w:rsidRPr="00597AFE" w:rsidRDefault="00974724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</w:p>
    <w:p w14:paraId="4B8E6540" w14:textId="281B6759" w:rsidR="00974724" w:rsidRPr="00F0087D" w:rsidRDefault="00974724" w:rsidP="00F0087D">
      <w:pPr>
        <w:spacing w:after="0" w:line="240" w:lineRule="auto"/>
        <w:jc w:val="both"/>
        <w:rPr>
          <w:rFonts w:ascii="Arial" w:hAnsi="Arial" w:cs="Arial"/>
          <w:i/>
          <w:iCs/>
          <w:color w:val="00B050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I.F.2.2 </w:t>
      </w:r>
      <w:bookmarkStart w:id="0" w:name="_Toc479589488"/>
      <w:bookmarkStart w:id="1" w:name="_Toc486595513"/>
      <w:r w:rsidRPr="00597AFE">
        <w:rPr>
          <w:rFonts w:ascii="Arial" w:hAnsi="Arial" w:cs="Arial"/>
          <w:b/>
          <w:bCs/>
          <w:sz w:val="20"/>
          <w:szCs w:val="20"/>
        </w:rPr>
        <w:t>Vznik dotačního titulu zaměřeného na regeneraci brownfieldů v intravilánech obcí pro další nepodnikatelské využití revitalizovaných ploch</w:t>
      </w:r>
      <w:bookmarkEnd w:id="0"/>
      <w:bookmarkEnd w:id="1"/>
      <w:r w:rsidRPr="00597AFE">
        <w:rPr>
          <w:rFonts w:ascii="Arial" w:hAnsi="Arial" w:cs="Arial"/>
          <w:b/>
          <w:bCs/>
          <w:sz w:val="20"/>
          <w:szCs w:val="20"/>
        </w:rPr>
        <w:t xml:space="preserve">. </w:t>
      </w:r>
      <w:r w:rsidRPr="00597AFE">
        <w:rPr>
          <w:rFonts w:ascii="Arial" w:hAnsi="Arial" w:cs="Arial"/>
          <w:sz w:val="20"/>
          <w:szCs w:val="20"/>
        </w:rPr>
        <w:t>Toto opatření je naplňováno realizací projektů z </w:t>
      </w:r>
      <w:r w:rsidR="0009632A" w:rsidRPr="00597AFE">
        <w:rPr>
          <w:rFonts w:ascii="Arial" w:hAnsi="Arial" w:cs="Arial"/>
          <w:sz w:val="20"/>
          <w:szCs w:val="20"/>
        </w:rPr>
        <w:t>pod</w:t>
      </w:r>
      <w:r w:rsidRPr="00597AFE">
        <w:rPr>
          <w:rFonts w:ascii="Arial" w:hAnsi="Arial" w:cs="Arial"/>
          <w:sz w:val="20"/>
          <w:szCs w:val="20"/>
        </w:rPr>
        <w:t xml:space="preserve">programu </w:t>
      </w:r>
      <w:r w:rsidRPr="00597AFE">
        <w:rPr>
          <w:rFonts w:ascii="Arial" w:hAnsi="Arial" w:cs="Arial"/>
          <w:i/>
          <w:iCs/>
          <w:sz w:val="20"/>
          <w:szCs w:val="20"/>
        </w:rPr>
        <w:t>Regenerace brownfieldů pro nepodnikatelské využití</w:t>
      </w:r>
      <w:r w:rsidR="0009632A" w:rsidRPr="00597AFE">
        <w:rPr>
          <w:rFonts w:ascii="Arial" w:hAnsi="Arial" w:cs="Arial"/>
          <w:i/>
          <w:iCs/>
          <w:sz w:val="20"/>
          <w:szCs w:val="20"/>
        </w:rPr>
        <w:t xml:space="preserve"> </w:t>
      </w:r>
      <w:r w:rsidR="00CE48EE" w:rsidRPr="00597AFE">
        <w:rPr>
          <w:rFonts w:ascii="Arial" w:hAnsi="Arial" w:cs="Arial"/>
          <w:i/>
          <w:iCs/>
          <w:sz w:val="20"/>
          <w:szCs w:val="20"/>
        </w:rPr>
        <w:t>(Program revitalizace území, MMR).</w:t>
      </w:r>
    </w:p>
    <w:p w14:paraId="5F7E8A66" w14:textId="77777777" w:rsidR="00937202" w:rsidRPr="00597AFE" w:rsidRDefault="00937202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</w:p>
    <w:p w14:paraId="30CF2AB5" w14:textId="0AA8F3AC" w:rsidR="00847FE3" w:rsidRPr="00597AFE" w:rsidRDefault="00847FE3" w:rsidP="00847FE3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Indikátory v AP1 (zatím nesledované</w:t>
      </w:r>
      <w:r w:rsidR="00225A8C">
        <w:rPr>
          <w:rStyle w:val="Znakapoznpodarou"/>
        </w:rPr>
        <w:t>4</w:t>
      </w:r>
      <w:r w:rsidRPr="00597AFE">
        <w:rPr>
          <w:rFonts w:ascii="Arial" w:hAnsi="Arial" w:cs="Arial"/>
          <w:sz w:val="20"/>
          <w:szCs w:val="20"/>
        </w:rPr>
        <w:t>)</w:t>
      </w:r>
    </w:p>
    <w:p w14:paraId="16A62F28" w14:textId="77777777" w:rsidR="00847FE3" w:rsidRPr="00597AFE" w:rsidRDefault="00847FE3" w:rsidP="00847FE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Zvýšení objemu investic</w:t>
      </w:r>
    </w:p>
    <w:p w14:paraId="006BDD5D" w14:textId="77777777" w:rsidR="00847FE3" w:rsidRPr="00597AFE" w:rsidRDefault="00847FE3" w:rsidP="00847FE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Zvýšení počtu nově vytvořených pracovních míst </w:t>
      </w:r>
    </w:p>
    <w:p w14:paraId="4517E55E" w14:textId="77777777" w:rsidR="00847FE3" w:rsidRPr="00597AFE" w:rsidRDefault="00847FE3" w:rsidP="00847FE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Zvýšení počtu návštěvníků a uživatelů a nabídky funkcí v prostorách a místech</w:t>
      </w:r>
    </w:p>
    <w:p w14:paraId="40C723E9" w14:textId="14749773" w:rsidR="00847FE3" w:rsidRDefault="00847FE3" w:rsidP="00847FE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Snížení sociopatologických jevů</w:t>
      </w:r>
    </w:p>
    <w:p w14:paraId="57E2C921" w14:textId="77777777" w:rsidR="00225A8C" w:rsidRPr="00597AFE" w:rsidRDefault="00225A8C" w:rsidP="00225A8C">
      <w:pPr>
        <w:pStyle w:val="Odstavecseseznamem"/>
        <w:rPr>
          <w:rFonts w:ascii="Arial" w:hAnsi="Arial" w:cs="Arial"/>
          <w:sz w:val="20"/>
          <w:szCs w:val="20"/>
        </w:rPr>
      </w:pPr>
    </w:p>
    <w:p w14:paraId="1F9D37C4" w14:textId="06C6C788" w:rsidR="00F0087D" w:rsidRPr="00597AFE" w:rsidRDefault="00847FE3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Hlavní sledované indikátory</w:t>
      </w:r>
      <w:r w:rsidR="00222C9C">
        <w:rPr>
          <w:rFonts w:ascii="Arial" w:hAnsi="Arial" w:cs="Arial"/>
          <w:sz w:val="20"/>
          <w:szCs w:val="20"/>
        </w:rPr>
        <w:t>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1106"/>
      </w:tblGrid>
      <w:tr w:rsidR="00847FE3" w:rsidRPr="00597AFE" w14:paraId="7268C6A9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1BD2A78" w14:textId="77777777" w:rsidR="00847FE3" w:rsidRPr="00597AFE" w:rsidRDefault="00847FE3" w:rsidP="00C900A7">
            <w:pPr>
              <w:rPr>
                <w:rFonts w:ascii="Arial" w:hAnsi="Arial" w:cs="Arial"/>
                <w:b w:val="0"/>
                <w:bCs w:val="0"/>
                <w:color w:val="00B05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rekonstruovaných/odstraněných objektů</w:t>
            </w:r>
          </w:p>
        </w:tc>
        <w:tc>
          <w:tcPr>
            <w:tcW w:w="1106" w:type="dxa"/>
          </w:tcPr>
          <w:p w14:paraId="211309B9" w14:textId="004AB8DD" w:rsidR="00847FE3" w:rsidRPr="00225A8C" w:rsidRDefault="00862C30" w:rsidP="00225A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3</w:t>
            </w:r>
            <w:r w:rsidR="009372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847FE3" w:rsidRPr="00597AFE" w14:paraId="1FC3E489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89A3409" w14:textId="77777777" w:rsidR="00847FE3" w:rsidRPr="00597AFE" w:rsidRDefault="00847FE3" w:rsidP="00847FE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1106" w:type="dxa"/>
          </w:tcPr>
          <w:p w14:paraId="0ECB13D1" w14:textId="74B92B1D" w:rsidR="00847FE3" w:rsidRPr="00225A8C" w:rsidRDefault="00937202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47FE3" w:rsidRPr="00597AFE" w14:paraId="58496C52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232AAB" w14:textId="1EE07969" w:rsidR="00847FE3" w:rsidRPr="00597AFE" w:rsidRDefault="00847FE3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1106" w:type="dxa"/>
          </w:tcPr>
          <w:p w14:paraId="1528C63A" w14:textId="12F2FFA2" w:rsidR="00847FE3" w:rsidRPr="00225A8C" w:rsidRDefault="00105AFA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47FE3" w:rsidRPr="00597AFE" w14:paraId="6008FE16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3CD6A0C" w14:textId="7454B41A" w:rsidR="00847FE3" w:rsidRPr="00597AFE" w:rsidRDefault="00847FE3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1106" w:type="dxa"/>
          </w:tcPr>
          <w:p w14:paraId="4A6A032F" w14:textId="266B9A13" w:rsidR="00847FE3" w:rsidRPr="00225A8C" w:rsidRDefault="0093211F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</w:t>
            </w:r>
            <w:r w:rsidR="00997382" w:rsidRPr="00225A8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47FE3" w:rsidRPr="00597AFE" w14:paraId="34AC0D0D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4086DEE" w14:textId="77777777" w:rsidR="00847FE3" w:rsidRPr="00597AFE" w:rsidRDefault="00847FE3" w:rsidP="00847FE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Revitalizovaná plocha v m</w:t>
            </w:r>
            <w:r w:rsidRPr="00CB585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6" w:type="dxa"/>
          </w:tcPr>
          <w:p w14:paraId="626E186E" w14:textId="105304ED" w:rsidR="00847FE3" w:rsidRPr="00225A8C" w:rsidRDefault="00862C30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937202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937202">
              <w:rPr>
                <w:rFonts w:ascii="Arial" w:hAnsi="Arial" w:cs="Arial"/>
                <w:b/>
                <w:bCs/>
                <w:sz w:val="20"/>
                <w:szCs w:val="20"/>
              </w:rPr>
              <w:t>814</w:t>
            </w: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,68</w:t>
            </w:r>
          </w:p>
        </w:tc>
      </w:tr>
      <w:tr w:rsidR="00847FE3" w:rsidRPr="00597AFE" w14:paraId="234D8694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7D8470" w14:textId="77777777" w:rsidR="00847FE3" w:rsidRPr="00597AFE" w:rsidRDefault="00847FE3" w:rsidP="00847FE3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1106" w:type="dxa"/>
          </w:tcPr>
          <w:p w14:paraId="354E98ED" w14:textId="0E98BC18" w:rsidR="00847FE3" w:rsidRPr="00225A8C" w:rsidRDefault="00862C30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13 939,7</w:t>
            </w:r>
            <w:r w:rsidR="00225A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47FE3" w:rsidRPr="00597AFE" w14:paraId="54886FB8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030A45E" w14:textId="2A39CBDF" w:rsidR="00847FE3" w:rsidRPr="00597AFE" w:rsidRDefault="00847FE3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1106" w:type="dxa"/>
          </w:tcPr>
          <w:p w14:paraId="151EAABA" w14:textId="041917B8" w:rsidR="00847FE3" w:rsidRPr="00225A8C" w:rsidRDefault="00105AFA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5 953,98</w:t>
            </w:r>
          </w:p>
        </w:tc>
      </w:tr>
      <w:tr w:rsidR="00847FE3" w:rsidRPr="00597AFE" w14:paraId="3E4BCD05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32D0FF" w14:textId="7D36DC69" w:rsidR="00847FE3" w:rsidRPr="00597AFE" w:rsidRDefault="00847FE3" w:rsidP="00847FE3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1106" w:type="dxa"/>
          </w:tcPr>
          <w:p w14:paraId="6588705F" w14:textId="6C7EC167" w:rsidR="00847FE3" w:rsidRPr="00225A8C" w:rsidRDefault="00997382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8</w:t>
            </w:r>
            <w:r w:rsidR="00225A8C">
              <w:rPr>
                <w:rFonts w:ascii="Arial" w:hAnsi="Arial" w:cs="Arial"/>
                <w:sz w:val="20"/>
                <w:szCs w:val="20"/>
              </w:rPr>
              <w:t> </w:t>
            </w:r>
            <w:r w:rsidRPr="00225A8C">
              <w:rPr>
                <w:rFonts w:ascii="Arial" w:hAnsi="Arial" w:cs="Arial"/>
                <w:sz w:val="20"/>
                <w:szCs w:val="20"/>
              </w:rPr>
              <w:t>592</w:t>
            </w:r>
            <w:r w:rsidR="00225A8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37202" w:rsidRPr="00597AFE" w14:paraId="2D3F21C1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225F8CD" w14:textId="3DEA54F6" w:rsidR="00937202" w:rsidRPr="00F0087D" w:rsidRDefault="00937202" w:rsidP="00847FE3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0087D">
              <w:rPr>
                <w:rFonts w:ascii="Arial" w:hAnsi="Arial" w:cs="Arial"/>
                <w:sz w:val="20"/>
                <w:szCs w:val="20"/>
              </w:rPr>
              <w:t>Obestavěný prostor odstraněného</w:t>
            </w:r>
            <w:r w:rsidR="00F0087D" w:rsidRPr="00F0087D">
              <w:rPr>
                <w:rFonts w:ascii="Arial" w:hAnsi="Arial" w:cs="Arial"/>
                <w:sz w:val="20"/>
                <w:szCs w:val="20"/>
              </w:rPr>
              <w:t xml:space="preserve"> nebo </w:t>
            </w:r>
            <w:r w:rsidRPr="00F0087D">
              <w:rPr>
                <w:rFonts w:ascii="Arial" w:hAnsi="Arial" w:cs="Arial"/>
                <w:sz w:val="20"/>
                <w:szCs w:val="20"/>
              </w:rPr>
              <w:t>rekonst</w:t>
            </w:r>
            <w:r w:rsidR="00F0087D" w:rsidRPr="00F0087D">
              <w:rPr>
                <w:rFonts w:ascii="Arial" w:hAnsi="Arial" w:cs="Arial"/>
                <w:sz w:val="20"/>
                <w:szCs w:val="20"/>
              </w:rPr>
              <w:t>ruovaného</w:t>
            </w:r>
            <w:r w:rsidRPr="00F0087D">
              <w:rPr>
                <w:rFonts w:ascii="Arial" w:hAnsi="Arial" w:cs="Arial"/>
                <w:sz w:val="20"/>
                <w:szCs w:val="20"/>
              </w:rPr>
              <w:t xml:space="preserve"> obj</w:t>
            </w:r>
            <w:r w:rsidR="00F0087D" w:rsidRPr="00F0087D">
              <w:rPr>
                <w:rFonts w:ascii="Arial" w:hAnsi="Arial" w:cs="Arial"/>
                <w:sz w:val="20"/>
                <w:szCs w:val="20"/>
              </w:rPr>
              <w:t>ektu v m</w:t>
            </w:r>
            <w:r w:rsidR="00F0087D" w:rsidRPr="00F0087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6" w:type="dxa"/>
          </w:tcPr>
          <w:p w14:paraId="59E7225A" w14:textId="77777777" w:rsidR="00F0087D" w:rsidRPr="00F0087D" w:rsidRDefault="00F0087D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C68DEB" w14:textId="6055E2B5" w:rsidR="00937202" w:rsidRPr="00F0087D" w:rsidRDefault="00F0087D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087D">
              <w:rPr>
                <w:rFonts w:ascii="Arial" w:hAnsi="Arial" w:cs="Arial"/>
                <w:b/>
                <w:bCs/>
                <w:sz w:val="20"/>
                <w:szCs w:val="20"/>
              </w:rPr>
              <w:t>71 570,60</w:t>
            </w:r>
          </w:p>
        </w:tc>
      </w:tr>
      <w:tr w:rsidR="00F0087D" w:rsidRPr="00597AFE" w14:paraId="20EFE426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2F055E6" w14:textId="60BAC226" w:rsidR="00F0087D" w:rsidRPr="00597AFE" w:rsidRDefault="00F0087D" w:rsidP="00F008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- </w:t>
            </w: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1106" w:type="dxa"/>
          </w:tcPr>
          <w:p w14:paraId="591BF76D" w14:textId="31002B40" w:rsidR="00F0087D" w:rsidRPr="00225A8C" w:rsidRDefault="00F0087D" w:rsidP="00F008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18 000,00</w:t>
            </w:r>
          </w:p>
        </w:tc>
      </w:tr>
      <w:tr w:rsidR="00F0087D" w:rsidRPr="00597AFE" w14:paraId="0D7B4D1F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4768CF" w14:textId="170B5A9B" w:rsidR="00F0087D" w:rsidRPr="00597AFE" w:rsidRDefault="00F0087D" w:rsidP="00F0087D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1106" w:type="dxa"/>
          </w:tcPr>
          <w:p w14:paraId="608C9D4C" w14:textId="710E1BC1" w:rsidR="00F0087D" w:rsidRPr="00225A8C" w:rsidRDefault="00F0087D" w:rsidP="00F008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13 418,30</w:t>
            </w:r>
          </w:p>
        </w:tc>
      </w:tr>
      <w:tr w:rsidR="00F0087D" w:rsidRPr="00597AFE" w14:paraId="440D19DA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8953C62" w14:textId="299FB84A" w:rsidR="00F0087D" w:rsidRPr="00597AFE" w:rsidRDefault="00F0087D" w:rsidP="00F0087D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1106" w:type="dxa"/>
          </w:tcPr>
          <w:p w14:paraId="303A34EC" w14:textId="588FCFF5" w:rsidR="00F0087D" w:rsidRPr="00225A8C" w:rsidRDefault="00F0087D" w:rsidP="00F008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37 352,30</w:t>
            </w:r>
          </w:p>
        </w:tc>
      </w:tr>
    </w:tbl>
    <w:p w14:paraId="46648BCF" w14:textId="2B71F204" w:rsidR="00847FE3" w:rsidRDefault="00137F8B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  <w:r w:rsidRPr="00597AFE">
        <w:rPr>
          <w:rFonts w:ascii="Arial" w:hAnsi="Arial" w:cs="Arial"/>
          <w:b/>
          <w:bCs/>
          <w:i/>
          <w:iCs/>
          <w:color w:val="00B050"/>
          <w:sz w:val="20"/>
          <w:szCs w:val="20"/>
        </w:rPr>
        <w:t xml:space="preserve"> </w:t>
      </w:r>
    </w:p>
    <w:p w14:paraId="1A544D8F" w14:textId="1C435E1A" w:rsidR="00253CF9" w:rsidRPr="00597AFE" w:rsidRDefault="00172D4B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lastRenderedPageBreak/>
        <w:t xml:space="preserve">II.F.1.1 Zlepšit kvalitu ovzduší. </w:t>
      </w:r>
      <w:r w:rsidRPr="00597AFE">
        <w:rPr>
          <w:rFonts w:ascii="Arial" w:hAnsi="Arial" w:cs="Arial"/>
          <w:sz w:val="20"/>
          <w:szCs w:val="20"/>
        </w:rPr>
        <w:t>Toto opatření je naplňováno rozmanitějšími typy projektů, jednak nákupy nízkoemisních a bezemisních vozidel (</w:t>
      </w:r>
      <w:r w:rsidRPr="00597AFE">
        <w:rPr>
          <w:rFonts w:ascii="Arial" w:hAnsi="Arial" w:cs="Arial"/>
          <w:i/>
          <w:iCs/>
          <w:sz w:val="20"/>
          <w:szCs w:val="20"/>
        </w:rPr>
        <w:t>Realokace IROP č.89 nízkoemisní vozidla a bezemisní vozidla pro uhelné regiony</w:t>
      </w:r>
      <w:r w:rsidRPr="00597AFE">
        <w:rPr>
          <w:rFonts w:ascii="Arial" w:hAnsi="Arial" w:cs="Arial"/>
          <w:sz w:val="20"/>
          <w:szCs w:val="20"/>
        </w:rPr>
        <w:t xml:space="preserve">), jednak také např. projekty realizovanými z </w:t>
      </w:r>
      <w:r w:rsidR="003E33F0" w:rsidRPr="00597AFE">
        <w:rPr>
          <w:rFonts w:ascii="Arial" w:hAnsi="Arial" w:cs="Arial"/>
          <w:i/>
          <w:iCs/>
          <w:sz w:val="20"/>
          <w:szCs w:val="20"/>
        </w:rPr>
        <w:t xml:space="preserve">136. výzva OP ŽP (Realokace) - Snížit emise stacionárních zdrojů podílející se na expozici obyvatelstva nadlimitním koncentracím znečišťujících látek v uhelných regionech. </w:t>
      </w:r>
    </w:p>
    <w:p w14:paraId="6272C4C7" w14:textId="77777777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F3F52F" w14:textId="22B84164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Indikátor v AP2 (zatím nesledovaný</w:t>
      </w:r>
      <w:r w:rsidR="00CB5854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597AFE">
        <w:rPr>
          <w:rFonts w:ascii="Arial" w:hAnsi="Arial" w:cs="Arial"/>
          <w:sz w:val="20"/>
          <w:szCs w:val="20"/>
        </w:rPr>
        <w:t>):</w:t>
      </w:r>
    </w:p>
    <w:p w14:paraId="151205B0" w14:textId="77777777" w:rsidR="002B6311" w:rsidRPr="00597AFE" w:rsidRDefault="002B6311" w:rsidP="002B6311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Procento plochy území s překročenými imisními limity (tj. limity pro kvalitu ovzduší)</w:t>
      </w:r>
    </w:p>
    <w:p w14:paraId="6F70DCD8" w14:textId="77777777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D5353E" w14:textId="77777777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Sledováno je více dílčích indikátorů, mezi hlavní </w:t>
      </w:r>
      <w:proofErr w:type="gramStart"/>
      <w:r w:rsidRPr="00597AFE">
        <w:rPr>
          <w:rFonts w:ascii="Arial" w:hAnsi="Arial" w:cs="Arial"/>
          <w:sz w:val="20"/>
          <w:szCs w:val="20"/>
        </w:rPr>
        <w:t>patří</w:t>
      </w:r>
      <w:proofErr w:type="gramEnd"/>
      <w:r w:rsidRPr="00597AFE">
        <w:rPr>
          <w:rFonts w:ascii="Arial" w:hAnsi="Arial" w:cs="Arial"/>
          <w:sz w:val="20"/>
          <w:szCs w:val="20"/>
        </w:rPr>
        <w:t>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524"/>
        <w:gridCol w:w="708"/>
      </w:tblGrid>
      <w:tr w:rsidR="00130F9F" w:rsidRPr="00597AFE" w14:paraId="0A76E0DD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524" w:type="dxa"/>
          </w:tcPr>
          <w:p w14:paraId="29685F38" w14:textId="77777777" w:rsidR="00130F9F" w:rsidRPr="00597AFE" w:rsidRDefault="00130F9F" w:rsidP="00C900A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všech stacionárních zdrojů znečišťování ovzduší, u kterých bylo provedeno opatření ke snížení emisí (OPŽP)</w:t>
            </w:r>
          </w:p>
        </w:tc>
        <w:tc>
          <w:tcPr>
            <w:tcW w:w="708" w:type="dxa"/>
          </w:tcPr>
          <w:p w14:paraId="2419BD10" w14:textId="51C31753" w:rsidR="00130F9F" w:rsidRPr="00225A8C" w:rsidRDefault="001217C7" w:rsidP="000E377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2</w:t>
            </w:r>
            <w:r w:rsidR="00F51F41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30F9F" w:rsidRPr="00597AFE" w14:paraId="2EE6A9C7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0D9D2DCB" w14:textId="080BFCDF" w:rsidR="00130F9F" w:rsidRPr="00597AFE" w:rsidRDefault="00130F9F" w:rsidP="00130F9F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8B4F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708" w:type="dxa"/>
          </w:tcPr>
          <w:p w14:paraId="61F27E5D" w14:textId="4462B0E8" w:rsidR="00130F9F" w:rsidRPr="00225A8C" w:rsidRDefault="00F51F41" w:rsidP="000E37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130F9F" w:rsidRPr="00597AFE" w14:paraId="40CC607E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20BF1A9" w14:textId="77777777" w:rsidR="00130F9F" w:rsidRPr="00597AFE" w:rsidRDefault="00130F9F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708" w:type="dxa"/>
          </w:tcPr>
          <w:p w14:paraId="7F42CD56" w14:textId="48C4B627" w:rsidR="00725794" w:rsidRPr="00225A8C" w:rsidRDefault="0001377A" w:rsidP="0072579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</w:t>
            </w:r>
            <w:r w:rsidR="00053714" w:rsidRPr="00225A8C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130F9F" w:rsidRPr="00597AFE" w14:paraId="6CB96EAA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7B9E8C2D" w14:textId="77777777" w:rsidR="00130F9F" w:rsidRPr="00597AFE" w:rsidRDefault="00130F9F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708" w:type="dxa"/>
          </w:tcPr>
          <w:p w14:paraId="0C74825A" w14:textId="77777777" w:rsidR="00130F9F" w:rsidRPr="00225A8C" w:rsidRDefault="000E3773" w:rsidP="000E37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30F9F" w:rsidRPr="00597AFE" w14:paraId="28EB3A5E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20D763E6" w14:textId="77777777" w:rsidR="00130F9F" w:rsidRPr="00597AFE" w:rsidRDefault="00130F9F" w:rsidP="00130F9F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pořízených nízkoemisních vozidel (IROP)</w:t>
            </w:r>
          </w:p>
        </w:tc>
        <w:tc>
          <w:tcPr>
            <w:tcW w:w="708" w:type="dxa"/>
          </w:tcPr>
          <w:p w14:paraId="02203704" w14:textId="77777777" w:rsidR="00130F9F" w:rsidRPr="00225A8C" w:rsidRDefault="00130F9F" w:rsidP="000E37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b/>
                <w:bCs/>
                <w:sz w:val="20"/>
                <w:szCs w:val="20"/>
              </w:rPr>
              <w:t>132</w:t>
            </w:r>
          </w:p>
        </w:tc>
      </w:tr>
      <w:tr w:rsidR="00130F9F" w:rsidRPr="00597AFE" w14:paraId="129F56D9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632AFE8B" w14:textId="6BA29098" w:rsidR="00130F9F" w:rsidRPr="00597AFE" w:rsidRDefault="00130F9F" w:rsidP="00130F9F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z toho: </w:t>
            </w:r>
            <w:r w:rsidR="008B4F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97AFE">
              <w:rPr>
                <w:rFonts w:ascii="Arial" w:hAnsi="Arial" w:cs="Arial"/>
                <w:sz w:val="20"/>
                <w:szCs w:val="20"/>
              </w:rPr>
              <w:t>ÚK</w:t>
            </w:r>
          </w:p>
        </w:tc>
        <w:tc>
          <w:tcPr>
            <w:tcW w:w="708" w:type="dxa"/>
          </w:tcPr>
          <w:p w14:paraId="0373F58A" w14:textId="77777777" w:rsidR="00130F9F" w:rsidRPr="00225A8C" w:rsidRDefault="000E3773" w:rsidP="000E37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30F9F" w:rsidRPr="00597AFE" w14:paraId="491AD8D0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05D380A7" w14:textId="56920A88" w:rsidR="00130F9F" w:rsidRPr="00597AFE" w:rsidRDefault="00130F9F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MSK</w:t>
            </w:r>
          </w:p>
        </w:tc>
        <w:tc>
          <w:tcPr>
            <w:tcW w:w="708" w:type="dxa"/>
          </w:tcPr>
          <w:p w14:paraId="1DFB3487" w14:textId="77777777" w:rsidR="00130F9F" w:rsidRPr="00225A8C" w:rsidRDefault="000E3773" w:rsidP="000E377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</w:tr>
      <w:tr w:rsidR="00130F9F" w:rsidRPr="00597AFE" w14:paraId="0CD4913C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14:paraId="25FC7F20" w14:textId="3BAAF23A" w:rsidR="00130F9F" w:rsidRPr="00597AFE" w:rsidRDefault="00130F9F" w:rsidP="00130F9F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   KVK</w:t>
            </w:r>
          </w:p>
        </w:tc>
        <w:tc>
          <w:tcPr>
            <w:tcW w:w="708" w:type="dxa"/>
          </w:tcPr>
          <w:p w14:paraId="62A5C71D" w14:textId="77777777" w:rsidR="00130F9F" w:rsidRPr="00225A8C" w:rsidRDefault="000E3773" w:rsidP="000E37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25A8C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14:paraId="51D45B46" w14:textId="77777777" w:rsidR="002B6311" w:rsidRPr="00597AFE" w:rsidRDefault="002B6311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BE7A46" w14:textId="77777777" w:rsidR="003E33F0" w:rsidRPr="00597AFE" w:rsidRDefault="003E33F0" w:rsidP="00C900A7">
      <w:pPr>
        <w:spacing w:after="0" w:line="240" w:lineRule="auto"/>
        <w:rPr>
          <w:rFonts w:ascii="Arial" w:hAnsi="Arial" w:cs="Arial"/>
          <w:b/>
          <w:bCs/>
          <w:i/>
          <w:iCs/>
          <w:color w:val="00B050"/>
          <w:sz w:val="20"/>
          <w:szCs w:val="20"/>
        </w:rPr>
      </w:pPr>
    </w:p>
    <w:p w14:paraId="5865B435" w14:textId="732B45EC" w:rsidR="003E33F0" w:rsidRPr="00302CC2" w:rsidRDefault="003E33F0" w:rsidP="00C677F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III.F.2.2 Specifické brownfieldy pro přípravu studií využitelnosti. </w:t>
      </w:r>
      <w:r w:rsidRPr="00597AFE">
        <w:rPr>
          <w:rFonts w:ascii="Arial" w:hAnsi="Arial" w:cs="Arial"/>
          <w:sz w:val="20"/>
          <w:szCs w:val="20"/>
        </w:rPr>
        <w:t>Toto opatření je naplňováno realizací projektů z </w:t>
      </w:r>
      <w:r w:rsidR="00B64F1A" w:rsidRPr="00597AFE">
        <w:rPr>
          <w:rFonts w:ascii="Arial" w:hAnsi="Arial" w:cs="Arial"/>
          <w:sz w:val="20"/>
          <w:szCs w:val="20"/>
        </w:rPr>
        <w:t>pod</w:t>
      </w:r>
      <w:r w:rsidRPr="00597AFE">
        <w:rPr>
          <w:rFonts w:ascii="Arial" w:hAnsi="Arial" w:cs="Arial"/>
          <w:sz w:val="20"/>
          <w:szCs w:val="20"/>
        </w:rPr>
        <w:t xml:space="preserve">programu </w:t>
      </w:r>
      <w:r w:rsidRPr="00597AFE">
        <w:rPr>
          <w:rFonts w:ascii="Arial" w:hAnsi="Arial" w:cs="Arial"/>
          <w:i/>
          <w:iCs/>
          <w:sz w:val="20"/>
          <w:szCs w:val="20"/>
        </w:rPr>
        <w:t>Tvorba studií a analýz možností využití vybraných brownfieldů</w:t>
      </w:r>
      <w:r w:rsidR="00B64F1A" w:rsidRPr="00597AFE">
        <w:rPr>
          <w:rFonts w:ascii="Arial" w:hAnsi="Arial" w:cs="Arial"/>
          <w:i/>
          <w:iCs/>
          <w:sz w:val="20"/>
          <w:szCs w:val="20"/>
        </w:rPr>
        <w:t xml:space="preserve"> (Podpora revitalizace území, MMR).</w:t>
      </w:r>
      <w:r w:rsidR="00302CC2">
        <w:rPr>
          <w:rFonts w:ascii="Arial" w:hAnsi="Arial" w:cs="Arial"/>
          <w:i/>
          <w:iCs/>
          <w:sz w:val="20"/>
          <w:szCs w:val="20"/>
        </w:rPr>
        <w:t xml:space="preserve"> </w:t>
      </w:r>
      <w:r w:rsidR="00302CC2" w:rsidRPr="00CB5854">
        <w:rPr>
          <w:rFonts w:ascii="Arial" w:hAnsi="Arial" w:cs="Arial"/>
          <w:sz w:val="20"/>
          <w:szCs w:val="20"/>
        </w:rPr>
        <w:t>Realizace tohoto opatření</w:t>
      </w:r>
      <w:r w:rsidR="00C459D0" w:rsidRPr="00CB5854">
        <w:rPr>
          <w:rFonts w:ascii="Arial" w:hAnsi="Arial" w:cs="Arial"/>
          <w:sz w:val="20"/>
          <w:szCs w:val="20"/>
        </w:rPr>
        <w:t>, tj. tvorba daných studií, je</w:t>
      </w:r>
      <w:r w:rsidR="00302CC2" w:rsidRPr="00CB5854">
        <w:rPr>
          <w:rFonts w:ascii="Arial" w:hAnsi="Arial" w:cs="Arial"/>
          <w:sz w:val="20"/>
          <w:szCs w:val="20"/>
        </w:rPr>
        <w:t xml:space="preserve"> předstupeň realizace opatření I.B.2.1, které by mohlo být alespoň z části naplněno v rámci Fondu pro spravedlivou transformaci</w:t>
      </w:r>
      <w:r w:rsidR="008B4F4C" w:rsidRPr="00CB5854">
        <w:rPr>
          <w:rFonts w:ascii="Arial" w:hAnsi="Arial" w:cs="Arial"/>
          <w:sz w:val="20"/>
          <w:szCs w:val="20"/>
        </w:rPr>
        <w:t xml:space="preserve"> nebo</w:t>
      </w:r>
      <w:r w:rsidR="00CB5854" w:rsidRPr="00CB5854">
        <w:rPr>
          <w:rFonts w:ascii="Arial" w:hAnsi="Arial" w:cs="Arial"/>
          <w:sz w:val="20"/>
          <w:szCs w:val="20"/>
        </w:rPr>
        <w:t xml:space="preserve"> v rámci Národního plánu obnovy.</w:t>
      </w:r>
    </w:p>
    <w:p w14:paraId="50BF3ADB" w14:textId="77777777" w:rsidR="00865896" w:rsidRPr="00597AFE" w:rsidRDefault="00865896" w:rsidP="00C900A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5341C916" w14:textId="5BA3AF08" w:rsidR="00B64F1A" w:rsidRPr="00597AFE" w:rsidRDefault="00B64F1A" w:rsidP="00C900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V AP k tomuto opatření žádné nadefinované indikátory nejsou. Relevantním indikátorem je: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4531"/>
        <w:gridCol w:w="439"/>
      </w:tblGrid>
      <w:tr w:rsidR="00B64F1A" w:rsidRPr="00597AFE" w14:paraId="38007E3A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1DCC2F8E" w14:textId="77777777" w:rsidR="00B64F1A" w:rsidRPr="00597AFE" w:rsidRDefault="00B64F1A" w:rsidP="00C900A7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Počet analýz/studií</w:t>
            </w:r>
          </w:p>
        </w:tc>
        <w:tc>
          <w:tcPr>
            <w:tcW w:w="426" w:type="dxa"/>
          </w:tcPr>
          <w:p w14:paraId="3D4916E7" w14:textId="18D384A2" w:rsidR="00B64F1A" w:rsidRPr="00597AFE" w:rsidRDefault="007247A8" w:rsidP="007247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64F1A" w:rsidRPr="00597AFE" w14:paraId="65C47F4D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5F7368A" w14:textId="77777777" w:rsidR="00B64F1A" w:rsidRPr="00597AFE" w:rsidRDefault="00B64F1A" w:rsidP="00B64F1A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z toho: ÚK</w:t>
            </w:r>
          </w:p>
        </w:tc>
        <w:tc>
          <w:tcPr>
            <w:tcW w:w="426" w:type="dxa"/>
          </w:tcPr>
          <w:p w14:paraId="77F3F9D6" w14:textId="0096DBE5" w:rsidR="00B64F1A" w:rsidRPr="00597AFE" w:rsidRDefault="003A5E75" w:rsidP="00B64F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64F1A" w:rsidRPr="00597AFE" w14:paraId="0BC5638A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E5490DA" w14:textId="2A36C9F4" w:rsidR="00B64F1A" w:rsidRPr="00597AFE" w:rsidRDefault="00B64F1A" w:rsidP="00B64F1A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MSK</w:t>
            </w:r>
          </w:p>
        </w:tc>
        <w:tc>
          <w:tcPr>
            <w:tcW w:w="426" w:type="dxa"/>
          </w:tcPr>
          <w:p w14:paraId="4D45D9E7" w14:textId="1B976B3C" w:rsidR="00B64F1A" w:rsidRPr="00597AFE" w:rsidRDefault="007247A8" w:rsidP="00B64F1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64F1A" w:rsidRPr="00597AFE" w14:paraId="7B848907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E8858D6" w14:textId="787F6969" w:rsidR="00B64F1A" w:rsidRPr="00597AFE" w:rsidRDefault="00B64F1A" w:rsidP="00B64F1A">
            <w:pPr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 xml:space="preserve">                         KVK</w:t>
            </w:r>
          </w:p>
        </w:tc>
        <w:tc>
          <w:tcPr>
            <w:tcW w:w="426" w:type="dxa"/>
          </w:tcPr>
          <w:p w14:paraId="3FC4C9F5" w14:textId="77777777" w:rsidR="00B64F1A" w:rsidRPr="00597AFE" w:rsidRDefault="00B64F1A" w:rsidP="00B64F1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2689C742" w14:textId="77777777" w:rsidR="00B64F1A" w:rsidRPr="00597AFE" w:rsidRDefault="00B64F1A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ADF03E" w14:textId="77777777" w:rsidR="00B64F1A" w:rsidRPr="00597AFE" w:rsidRDefault="00B64F1A" w:rsidP="00C900A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597AFE">
        <w:rPr>
          <w:rFonts w:ascii="Arial" w:hAnsi="Arial" w:cs="Arial"/>
          <w:sz w:val="20"/>
          <w:szCs w:val="20"/>
          <w:u w:val="single"/>
        </w:rPr>
        <w:t xml:space="preserve">Přehled </w:t>
      </w:r>
      <w:r w:rsidR="00A80EEB" w:rsidRPr="00597AFE">
        <w:rPr>
          <w:rFonts w:ascii="Arial" w:hAnsi="Arial" w:cs="Arial"/>
          <w:sz w:val="20"/>
          <w:szCs w:val="20"/>
          <w:u w:val="single"/>
        </w:rPr>
        <w:t xml:space="preserve">podpořených specifických </w:t>
      </w:r>
      <w:r w:rsidRPr="00597AFE">
        <w:rPr>
          <w:rFonts w:ascii="Arial" w:hAnsi="Arial" w:cs="Arial"/>
          <w:sz w:val="20"/>
          <w:szCs w:val="20"/>
          <w:u w:val="single"/>
        </w:rPr>
        <w:t>brownfield</w:t>
      </w:r>
      <w:r w:rsidR="00A80EEB" w:rsidRPr="00597AFE">
        <w:rPr>
          <w:rFonts w:ascii="Arial" w:hAnsi="Arial" w:cs="Arial"/>
          <w:sz w:val="20"/>
          <w:szCs w:val="20"/>
          <w:u w:val="single"/>
        </w:rPr>
        <w:t>ů pro studie využitelnosti:</w:t>
      </w:r>
    </w:p>
    <w:p w14:paraId="41E63604" w14:textId="77777777" w:rsidR="00A80EEB" w:rsidRPr="00597AFE" w:rsidRDefault="00A80EEB" w:rsidP="00A80E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ÚK</w:t>
      </w:r>
    </w:p>
    <w:p w14:paraId="37B319D6" w14:textId="371967B3" w:rsidR="00A80EEB" w:rsidRPr="00597AFE" w:rsidRDefault="00A80EEB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Lokalita Teplické nádraží </w:t>
      </w:r>
    </w:p>
    <w:p w14:paraId="64AC129F" w14:textId="301BE232" w:rsidR="003775E5" w:rsidRDefault="003775E5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Objekt bývalých Městských lázní v</w:t>
      </w:r>
      <w:r w:rsidR="008B4F4C">
        <w:rPr>
          <w:rFonts w:ascii="Arial" w:hAnsi="Arial" w:cs="Arial"/>
          <w:sz w:val="20"/>
          <w:szCs w:val="20"/>
        </w:rPr>
        <w:t> </w:t>
      </w:r>
      <w:r w:rsidRPr="00597AFE">
        <w:rPr>
          <w:rFonts w:ascii="Arial" w:hAnsi="Arial" w:cs="Arial"/>
          <w:sz w:val="20"/>
          <w:szCs w:val="20"/>
        </w:rPr>
        <w:t>Chomutově</w:t>
      </w:r>
    </w:p>
    <w:p w14:paraId="384E43EC" w14:textId="0E795137" w:rsidR="008B4F4C" w:rsidRDefault="008B4F4C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Východní nádraží v Děčíně</w:t>
      </w:r>
    </w:p>
    <w:p w14:paraId="70BA74E1" w14:textId="667F4A8B" w:rsidR="008B4F4C" w:rsidRDefault="008B4F4C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Město </w:t>
      </w:r>
      <w:r w:rsidR="009E415F">
        <w:rPr>
          <w:rFonts w:ascii="Arial" w:hAnsi="Arial" w:cs="Arial"/>
          <w:sz w:val="20"/>
          <w:szCs w:val="20"/>
        </w:rPr>
        <w:t>Terezín – Analýza</w:t>
      </w:r>
      <w:r>
        <w:rPr>
          <w:rFonts w:ascii="Arial" w:hAnsi="Arial" w:cs="Arial"/>
          <w:sz w:val="20"/>
          <w:szCs w:val="20"/>
        </w:rPr>
        <w:t xml:space="preserve"> rozvojových příležitostí města Terezín</w:t>
      </w:r>
    </w:p>
    <w:p w14:paraId="3C5BB174" w14:textId="4F2F3178" w:rsidR="00F51F41" w:rsidRDefault="00F51F41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Město Žatec - Studie využití brownfieldu </w:t>
      </w:r>
      <w:proofErr w:type="spellStart"/>
      <w:r>
        <w:rPr>
          <w:rFonts w:ascii="Arial" w:hAnsi="Arial" w:cs="Arial"/>
          <w:sz w:val="20"/>
          <w:szCs w:val="20"/>
        </w:rPr>
        <w:t>Dreherův</w:t>
      </w:r>
      <w:proofErr w:type="spellEnd"/>
      <w:r>
        <w:rPr>
          <w:rFonts w:ascii="Arial" w:hAnsi="Arial" w:cs="Arial"/>
          <w:sz w:val="20"/>
          <w:szCs w:val="20"/>
        </w:rPr>
        <w:t xml:space="preserve"> Pivovar</w:t>
      </w:r>
    </w:p>
    <w:p w14:paraId="6089A74D" w14:textId="77777777" w:rsidR="007247A8" w:rsidRPr="00597AFE" w:rsidRDefault="007247A8" w:rsidP="007247A8">
      <w:pPr>
        <w:pStyle w:val="Odstavecseseznamem"/>
        <w:spacing w:after="0" w:line="240" w:lineRule="auto"/>
        <w:rPr>
          <w:rFonts w:ascii="Arial" w:hAnsi="Arial" w:cs="Arial"/>
          <w:sz w:val="20"/>
          <w:szCs w:val="20"/>
        </w:rPr>
      </w:pPr>
    </w:p>
    <w:p w14:paraId="6CF2ED2C" w14:textId="77777777" w:rsidR="00A80EEB" w:rsidRPr="00597AFE" w:rsidRDefault="00A80EEB" w:rsidP="00A80E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MSK</w:t>
      </w:r>
    </w:p>
    <w:p w14:paraId="3E81A74C" w14:textId="77777777" w:rsidR="00A80EEB" w:rsidRPr="00597AFE" w:rsidRDefault="00A80EEB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Dukelská kasárna – lokalita A</w:t>
      </w:r>
    </w:p>
    <w:p w14:paraId="0EFBE142" w14:textId="1AF9A9C0" w:rsidR="00A80EEB" w:rsidRDefault="00A80EEB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Ostrava – Rozvojová plocha mezi Dolní oblastí Vítkovic a Karolinou</w:t>
      </w:r>
    </w:p>
    <w:p w14:paraId="76F1F321" w14:textId="28869C84" w:rsidR="007247A8" w:rsidRDefault="007247A8" w:rsidP="00A80EE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Studie proveditelnosti – Bývalý areál vojenských kasáren ve Služovících</w:t>
      </w:r>
    </w:p>
    <w:p w14:paraId="591499E8" w14:textId="77777777" w:rsidR="00622BC1" w:rsidRPr="00597AFE" w:rsidRDefault="00622BC1" w:rsidP="00622BC1">
      <w:pPr>
        <w:pStyle w:val="Odstavecseseznamem"/>
        <w:spacing w:after="0" w:line="240" w:lineRule="auto"/>
        <w:rPr>
          <w:rFonts w:ascii="Arial" w:hAnsi="Arial" w:cs="Arial"/>
          <w:sz w:val="20"/>
          <w:szCs w:val="20"/>
        </w:rPr>
      </w:pPr>
    </w:p>
    <w:p w14:paraId="6FFD61DD" w14:textId="77777777" w:rsidR="00A80EEB" w:rsidRPr="00597AFE" w:rsidRDefault="00A80EEB" w:rsidP="00A80EE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KVK</w:t>
      </w:r>
    </w:p>
    <w:p w14:paraId="66A040A9" w14:textId="77777777" w:rsidR="00A80EEB" w:rsidRPr="00597AFE" w:rsidRDefault="00A80EEB" w:rsidP="00A80EEB">
      <w:pPr>
        <w:pStyle w:val="Odstavecseseznamem"/>
        <w:numPr>
          <w:ilvl w:val="0"/>
          <w:numId w:val="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 xml:space="preserve">Areál bývalého ředitelství </w:t>
      </w:r>
      <w:proofErr w:type="spellStart"/>
      <w:r w:rsidRPr="00597AFE">
        <w:rPr>
          <w:rFonts w:ascii="Arial" w:hAnsi="Arial" w:cs="Arial"/>
          <w:sz w:val="20"/>
          <w:szCs w:val="20"/>
        </w:rPr>
        <w:t>s.p</w:t>
      </w:r>
      <w:proofErr w:type="spellEnd"/>
      <w:r w:rsidRPr="00597AFE">
        <w:rPr>
          <w:rFonts w:ascii="Arial" w:hAnsi="Arial" w:cs="Arial"/>
          <w:sz w:val="20"/>
          <w:szCs w:val="20"/>
        </w:rPr>
        <w:t>. Statek Skalná</w:t>
      </w:r>
    </w:p>
    <w:p w14:paraId="2CDD8A75" w14:textId="77777777" w:rsidR="00A80EEB" w:rsidRPr="00597AFE" w:rsidRDefault="00A80EEB" w:rsidP="00A80EEB">
      <w:pPr>
        <w:pStyle w:val="Odstavecseseznamem"/>
        <w:numPr>
          <w:ilvl w:val="0"/>
          <w:numId w:val="8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Karlovy Vary – území staré Vodárny</w:t>
      </w:r>
    </w:p>
    <w:p w14:paraId="4A157608" w14:textId="77777777" w:rsidR="00A80EEB" w:rsidRPr="00597AFE" w:rsidRDefault="00A80EEB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5DEE58" w14:textId="77777777" w:rsidR="00A80EEB" w:rsidRPr="00597AFE" w:rsidRDefault="00A80EEB" w:rsidP="00C900A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F0AA14" w14:textId="58501BDD" w:rsidR="0043085D" w:rsidRDefault="0043085D" w:rsidP="00597AFE">
      <w:pPr>
        <w:pStyle w:val="Nadpis2"/>
        <w:rPr>
          <w:b/>
          <w:bCs/>
        </w:rPr>
      </w:pPr>
      <w:r w:rsidRPr="00597AFE">
        <w:rPr>
          <w:b/>
          <w:bCs/>
        </w:rPr>
        <w:t>Pilíř G</w:t>
      </w:r>
    </w:p>
    <w:p w14:paraId="26752F3D" w14:textId="1D181ACC" w:rsidR="0043085D" w:rsidRPr="00597AFE" w:rsidRDefault="0043085D" w:rsidP="00C677F1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97AFE">
        <w:rPr>
          <w:rFonts w:ascii="Arial" w:hAnsi="Arial" w:cs="Arial"/>
          <w:b/>
          <w:bCs/>
          <w:sz w:val="20"/>
          <w:szCs w:val="20"/>
        </w:rPr>
        <w:t xml:space="preserve">II.G.1.3. Napojení „Podkrušnohorské výsypky u Sokolova“ na veřejnou dopravní infrastrukturu v Karlovarském kraji z důvodu umožnění její revitalizace. </w:t>
      </w:r>
      <w:r w:rsidRPr="00597AFE">
        <w:rPr>
          <w:rFonts w:ascii="Arial" w:hAnsi="Arial" w:cs="Arial"/>
          <w:sz w:val="20"/>
          <w:szCs w:val="20"/>
        </w:rPr>
        <w:t xml:space="preserve">Jedná se o regionální opatření a je </w:t>
      </w:r>
      <w:r w:rsidRPr="00597AFE">
        <w:rPr>
          <w:rFonts w:ascii="Arial" w:hAnsi="Arial" w:cs="Arial"/>
          <w:sz w:val="20"/>
          <w:szCs w:val="20"/>
        </w:rPr>
        <w:lastRenderedPageBreak/>
        <w:t xml:space="preserve">naplňováno projektem II/210 Napojení Podkrušnohorské výsypky v k.ú. Horní Nivy financovaným ze </w:t>
      </w:r>
      <w:r w:rsidRPr="00597AFE">
        <w:rPr>
          <w:rFonts w:ascii="Arial" w:hAnsi="Arial" w:cs="Arial"/>
          <w:i/>
          <w:iCs/>
          <w:sz w:val="20"/>
          <w:szCs w:val="20"/>
        </w:rPr>
        <w:t xml:space="preserve">Státního fondu dopravní infrastruktury. </w:t>
      </w:r>
    </w:p>
    <w:p w14:paraId="40C8CE5D" w14:textId="66EB3411" w:rsidR="0043085D" w:rsidRPr="00597AFE" w:rsidRDefault="0043085D" w:rsidP="0043085D">
      <w:pPr>
        <w:rPr>
          <w:rFonts w:ascii="Arial" w:hAnsi="Arial" w:cs="Arial"/>
          <w:sz w:val="20"/>
          <w:szCs w:val="20"/>
        </w:rPr>
      </w:pPr>
      <w:r w:rsidRPr="00597AFE">
        <w:rPr>
          <w:rFonts w:ascii="Arial" w:hAnsi="Arial" w:cs="Arial"/>
          <w:sz w:val="20"/>
          <w:szCs w:val="20"/>
        </w:rPr>
        <w:t>V Akčním plánu k tomuto opatření indikátory definované nejsou. Evidujeme následující:</w:t>
      </w: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240"/>
        <w:gridCol w:w="567"/>
      </w:tblGrid>
      <w:tr w:rsidR="0043085D" w:rsidRPr="00597AFE" w14:paraId="31526C4D" w14:textId="77777777" w:rsidTr="00E80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40" w:type="dxa"/>
          </w:tcPr>
          <w:p w14:paraId="71435070" w14:textId="6A02FFF6" w:rsidR="0043085D" w:rsidRPr="00597AFE" w:rsidRDefault="00222C9C" w:rsidP="0043085D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43085D" w:rsidRPr="00597AFE">
              <w:rPr>
                <w:rFonts w:ascii="Arial" w:hAnsi="Arial" w:cs="Arial"/>
                <w:sz w:val="20"/>
                <w:szCs w:val="20"/>
              </w:rPr>
              <w:t>kružní křižovatka na silnici II/210 počet</w:t>
            </w:r>
          </w:p>
        </w:tc>
        <w:tc>
          <w:tcPr>
            <w:tcW w:w="567" w:type="dxa"/>
          </w:tcPr>
          <w:p w14:paraId="3E71DDB0" w14:textId="5D656978" w:rsidR="0043085D" w:rsidRPr="00597AFE" w:rsidRDefault="0043085D" w:rsidP="00225A8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3085D" w:rsidRPr="00597AFE" w14:paraId="038C44A9" w14:textId="77777777" w:rsidTr="00E80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421184C3" w14:textId="7EE515B6" w:rsidR="0043085D" w:rsidRPr="00597AFE" w:rsidRDefault="0043085D" w:rsidP="0043085D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úprava silnice II/210 v m</w:t>
            </w:r>
          </w:p>
        </w:tc>
        <w:tc>
          <w:tcPr>
            <w:tcW w:w="567" w:type="dxa"/>
          </w:tcPr>
          <w:p w14:paraId="351F0EEC" w14:textId="1A0251D3" w:rsidR="0043085D" w:rsidRPr="00597AFE" w:rsidRDefault="0043085D" w:rsidP="00225A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626</w:t>
            </w:r>
          </w:p>
        </w:tc>
      </w:tr>
      <w:tr w:rsidR="0043085D" w:rsidRPr="00597AFE" w14:paraId="1498A03B" w14:textId="77777777" w:rsidTr="00E80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50354F57" w14:textId="7FEE79A3" w:rsidR="0043085D" w:rsidRPr="00597AFE" w:rsidRDefault="0043085D" w:rsidP="0043085D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dopravní napojení Podkrušnohorské výsypky – počet</w:t>
            </w:r>
          </w:p>
        </w:tc>
        <w:tc>
          <w:tcPr>
            <w:tcW w:w="567" w:type="dxa"/>
          </w:tcPr>
          <w:p w14:paraId="2831ABCD" w14:textId="6609B90F" w:rsidR="0043085D" w:rsidRPr="00597AFE" w:rsidRDefault="0043085D" w:rsidP="00225A8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97A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A4D6B14" w14:textId="68EE3F80" w:rsidR="0043085D" w:rsidRPr="00645EAD" w:rsidRDefault="0043085D" w:rsidP="0043085D">
      <w:pPr>
        <w:rPr>
          <w:rFonts w:ascii="Arial" w:hAnsi="Arial" w:cs="Arial"/>
          <w:b/>
          <w:bCs/>
          <w:sz w:val="20"/>
          <w:szCs w:val="20"/>
        </w:rPr>
      </w:pPr>
    </w:p>
    <w:p w14:paraId="1707081D" w14:textId="5E6D72D5" w:rsidR="00C459D0" w:rsidRDefault="00C459D0" w:rsidP="00645E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5EAD">
        <w:rPr>
          <w:rFonts w:ascii="Arial" w:hAnsi="Arial" w:cs="Arial"/>
          <w:sz w:val="20"/>
          <w:szCs w:val="20"/>
        </w:rPr>
        <w:t>Opatření, jak je nastaveno v AP2, je již úspěšně naplněno</w:t>
      </w:r>
      <w:r w:rsidR="00645EAD" w:rsidRPr="00645EAD">
        <w:rPr>
          <w:rFonts w:ascii="Arial" w:hAnsi="Arial" w:cs="Arial"/>
          <w:sz w:val="20"/>
          <w:szCs w:val="20"/>
        </w:rPr>
        <w:t xml:space="preserve"> (I. etapa projektu, která zahrnovala výstavbu nové okružní křižovatky na silnici II/210 a vlastního dopravního propojení na Podkrušnohorskou výsypku, byla zrealizována v letech 2019 a 2020). </w:t>
      </w:r>
      <w:r w:rsidRPr="00645EAD">
        <w:rPr>
          <w:rFonts w:ascii="Arial" w:hAnsi="Arial" w:cs="Arial"/>
          <w:sz w:val="20"/>
          <w:szCs w:val="20"/>
        </w:rPr>
        <w:t>Momentálně je navíc v řešení pokračování projektu</w:t>
      </w:r>
      <w:r w:rsidR="00645EAD" w:rsidRPr="00645EAD">
        <w:rPr>
          <w:rFonts w:ascii="Arial" w:hAnsi="Arial" w:cs="Arial"/>
          <w:sz w:val="20"/>
          <w:szCs w:val="20"/>
        </w:rPr>
        <w:t>. Je</w:t>
      </w:r>
      <w:r w:rsidR="00645EAD">
        <w:rPr>
          <w:rFonts w:ascii="Arial" w:hAnsi="Arial" w:cs="Arial"/>
          <w:sz w:val="20"/>
          <w:szCs w:val="20"/>
        </w:rPr>
        <w:t xml:space="preserve"> p</w:t>
      </w:r>
      <w:r w:rsidR="00645EAD" w:rsidRPr="00645EAD">
        <w:rPr>
          <w:rFonts w:ascii="Arial" w:hAnsi="Arial" w:cs="Arial"/>
          <w:sz w:val="20"/>
          <w:szCs w:val="20"/>
        </w:rPr>
        <w:t xml:space="preserve">řipravena další etapa projektu s názvem „III/21036 Okružní křižovatka pro napojení areálu BMW“, která zahrnuje výstavbu další okružní křižovatky již v lokalitě Podkrušnohorské výsypky. Tento projekt je připraven, stavební povolení je vydáno a je vysoutěžen zhotovitel stavby. Nyní se </w:t>
      </w:r>
      <w:proofErr w:type="gramStart"/>
      <w:r w:rsidR="00645EAD" w:rsidRPr="00645EAD">
        <w:rPr>
          <w:rFonts w:ascii="Arial" w:hAnsi="Arial" w:cs="Arial"/>
          <w:sz w:val="20"/>
          <w:szCs w:val="20"/>
        </w:rPr>
        <w:t>řeší</w:t>
      </w:r>
      <w:proofErr w:type="gramEnd"/>
      <w:r w:rsidR="00645EAD" w:rsidRPr="00645EAD">
        <w:rPr>
          <w:rFonts w:ascii="Arial" w:hAnsi="Arial" w:cs="Arial"/>
          <w:sz w:val="20"/>
          <w:szCs w:val="20"/>
        </w:rPr>
        <w:t xml:space="preserve"> zajištění potřebných finančních prostředků</w:t>
      </w:r>
      <w:r w:rsidR="00645EAD">
        <w:rPr>
          <w:rFonts w:ascii="Arial" w:hAnsi="Arial" w:cs="Arial"/>
          <w:sz w:val="20"/>
          <w:szCs w:val="20"/>
        </w:rPr>
        <w:t xml:space="preserve">. </w:t>
      </w:r>
    </w:p>
    <w:p w14:paraId="27DB4938" w14:textId="2294BC24" w:rsidR="00205378" w:rsidRDefault="00205378" w:rsidP="00645EA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027FE7" w14:textId="31127A41" w:rsidR="00205378" w:rsidRPr="00645EAD" w:rsidRDefault="00205378" w:rsidP="009E415F">
      <w:pPr>
        <w:pStyle w:val="Nadpis2"/>
      </w:pPr>
      <w:r>
        <w:t>Ostatní sledované ukazatele</w:t>
      </w:r>
    </w:p>
    <w:p w14:paraId="15402AC6" w14:textId="4938EF79" w:rsidR="0043085D" w:rsidRDefault="0043085D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85208" w14:textId="20A4CF57" w:rsidR="006A7333" w:rsidRDefault="00597AFE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3617E">
        <w:rPr>
          <w:rFonts w:ascii="Arial" w:hAnsi="Arial" w:cs="Arial"/>
          <w:b/>
          <w:bCs/>
          <w:sz w:val="20"/>
          <w:szCs w:val="20"/>
        </w:rPr>
        <w:t>Napříč jednotlivými pilíři</w:t>
      </w:r>
      <w:r>
        <w:rPr>
          <w:rFonts w:ascii="Arial" w:hAnsi="Arial" w:cs="Arial"/>
          <w:sz w:val="20"/>
          <w:szCs w:val="20"/>
        </w:rPr>
        <w:t xml:space="preserve"> jdou opatření, v </w:t>
      </w:r>
      <w:proofErr w:type="gramStart"/>
      <w:r w:rsidR="0023617E">
        <w:rPr>
          <w:rFonts w:ascii="Arial" w:hAnsi="Arial" w:cs="Arial"/>
          <w:sz w:val="20"/>
          <w:szCs w:val="20"/>
        </w:rPr>
        <w:t>rámci</w:t>
      </w:r>
      <w:proofErr w:type="gramEnd"/>
      <w:r>
        <w:rPr>
          <w:rFonts w:ascii="Arial" w:hAnsi="Arial" w:cs="Arial"/>
          <w:sz w:val="20"/>
          <w:szCs w:val="20"/>
        </w:rPr>
        <w:t xml:space="preserve"> kterých jsou zpracovány rozličné analýzy či studie</w:t>
      </w:r>
      <w:r w:rsidRPr="009E415F">
        <w:rPr>
          <w:rFonts w:ascii="Arial" w:hAnsi="Arial" w:cs="Arial"/>
          <w:sz w:val="20"/>
          <w:szCs w:val="20"/>
        </w:rPr>
        <w:t>.</w:t>
      </w:r>
      <w:r w:rsidR="006A7333" w:rsidRPr="009E415F">
        <w:rPr>
          <w:rFonts w:ascii="Arial" w:hAnsi="Arial" w:cs="Arial"/>
          <w:sz w:val="20"/>
          <w:szCs w:val="20"/>
        </w:rPr>
        <w:t xml:space="preserve"> Ze všech dosavadních AP1 – AP</w:t>
      </w:r>
      <w:r w:rsidR="00807FE8">
        <w:rPr>
          <w:rFonts w:ascii="Arial" w:hAnsi="Arial" w:cs="Arial"/>
          <w:sz w:val="20"/>
          <w:szCs w:val="20"/>
        </w:rPr>
        <w:t>5</w:t>
      </w:r>
      <w:r w:rsidR="006A7333" w:rsidRPr="009E415F">
        <w:rPr>
          <w:rFonts w:ascii="Arial" w:hAnsi="Arial" w:cs="Arial"/>
          <w:sz w:val="20"/>
          <w:szCs w:val="20"/>
        </w:rPr>
        <w:t xml:space="preserve"> vychází z jednotlivých opatření tvorba různých analýz či studií.</w:t>
      </w:r>
      <w:r w:rsidR="006A73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2C1FDF3" w14:textId="62A72737" w:rsidR="00597AFE" w:rsidRDefault="00597AFE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celkový přehled </w:t>
      </w:r>
      <w:r w:rsidR="00B31833" w:rsidRPr="006A7333">
        <w:rPr>
          <w:rFonts w:ascii="Arial" w:hAnsi="Arial" w:cs="Arial"/>
          <w:sz w:val="20"/>
          <w:szCs w:val="20"/>
          <w:u w:val="single"/>
        </w:rPr>
        <w:t>již zpracovaných studií</w:t>
      </w:r>
      <w:r w:rsidR="00B31833">
        <w:rPr>
          <w:rFonts w:ascii="Arial" w:hAnsi="Arial" w:cs="Arial"/>
          <w:sz w:val="20"/>
          <w:szCs w:val="20"/>
        </w:rPr>
        <w:t>, které zcela či částečně naplňují některá z opatření RE:START, je sledován i tento souhrnný indikátor.</w:t>
      </w:r>
    </w:p>
    <w:p w14:paraId="6B5F8B4F" w14:textId="4B7043EB" w:rsidR="00B31833" w:rsidRDefault="00B31833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ulkaseznamu3zvraznn6"/>
        <w:tblW w:w="0" w:type="auto"/>
        <w:tblLook w:val="04A0" w:firstRow="1" w:lastRow="0" w:firstColumn="1" w:lastColumn="0" w:noHBand="0" w:noVBand="1"/>
      </w:tblPr>
      <w:tblGrid>
        <w:gridCol w:w="5240"/>
        <w:gridCol w:w="439"/>
      </w:tblGrid>
      <w:tr w:rsidR="003540EB" w14:paraId="4DB9E983" w14:textId="77777777" w:rsidTr="00222C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240" w:type="dxa"/>
          </w:tcPr>
          <w:p w14:paraId="730476FC" w14:textId="77777777" w:rsidR="003540EB" w:rsidRDefault="003540EB" w:rsidP="003540EB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studií/analýz</w:t>
            </w:r>
          </w:p>
          <w:p w14:paraId="47CE5C04" w14:textId="77777777" w:rsidR="003540EB" w:rsidRDefault="003540EB" w:rsidP="00515F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</w:tcPr>
          <w:p w14:paraId="52ACE429" w14:textId="28A3FA80" w:rsidR="003540EB" w:rsidRDefault="003540EB" w:rsidP="003540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415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14:paraId="01F8D5BF" w14:textId="77777777" w:rsidR="003540EB" w:rsidRDefault="003540EB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368BD5" w14:textId="370046B1" w:rsidR="00B31833" w:rsidRDefault="00B31833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Kromě již výše zmíněných studií v rámci opatření </w:t>
      </w:r>
      <w:r w:rsidRPr="00B31833">
        <w:rPr>
          <w:rFonts w:ascii="Arial" w:hAnsi="Arial" w:cs="Arial"/>
          <w:sz w:val="20"/>
          <w:szCs w:val="20"/>
        </w:rPr>
        <w:t>I.C.2.5.</w:t>
      </w:r>
      <w:r>
        <w:rPr>
          <w:rFonts w:ascii="Arial" w:hAnsi="Arial" w:cs="Arial"/>
          <w:sz w:val="20"/>
          <w:szCs w:val="20"/>
        </w:rPr>
        <w:t xml:space="preserve"> (1x)</w:t>
      </w:r>
      <w:r w:rsidRPr="00B318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r w:rsidRPr="00B31833">
        <w:rPr>
          <w:rFonts w:ascii="Arial" w:hAnsi="Arial" w:cs="Arial"/>
          <w:sz w:val="20"/>
          <w:szCs w:val="20"/>
        </w:rPr>
        <w:t>III.F.2.2</w:t>
      </w:r>
      <w:r>
        <w:rPr>
          <w:rFonts w:ascii="Arial" w:hAnsi="Arial" w:cs="Arial"/>
          <w:sz w:val="20"/>
          <w:szCs w:val="20"/>
        </w:rPr>
        <w:t xml:space="preserve"> (</w:t>
      </w:r>
      <w:r w:rsidR="0035199F">
        <w:rPr>
          <w:rFonts w:ascii="Arial" w:hAnsi="Arial" w:cs="Arial"/>
          <w:sz w:val="20"/>
          <w:szCs w:val="20"/>
        </w:rPr>
        <w:t>9</w:t>
      </w:r>
      <w:r w:rsidR="009E415F">
        <w:rPr>
          <w:rFonts w:ascii="Arial" w:hAnsi="Arial" w:cs="Arial"/>
          <w:sz w:val="20"/>
          <w:szCs w:val="20"/>
        </w:rPr>
        <w:t>x</w:t>
      </w:r>
      <w:r>
        <w:rPr>
          <w:rFonts w:ascii="Arial" w:hAnsi="Arial" w:cs="Arial"/>
          <w:sz w:val="20"/>
          <w:szCs w:val="20"/>
        </w:rPr>
        <w:t>) se ještě jedná o následující:</w:t>
      </w:r>
    </w:p>
    <w:p w14:paraId="602C52EB" w14:textId="77777777" w:rsidR="00B31833" w:rsidRDefault="00B31833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D27B9C" w14:textId="4F7EF702" w:rsidR="00B31833" w:rsidRDefault="00B31833" w:rsidP="00B3183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31833">
        <w:rPr>
          <w:rFonts w:ascii="Arial" w:hAnsi="Arial" w:cs="Arial"/>
          <w:i/>
          <w:iCs/>
          <w:sz w:val="20"/>
          <w:szCs w:val="20"/>
        </w:rPr>
        <w:t>Analýzy možnosti zavedení podpory v rekvalifikaci i v případě § 109a Zákona o zaměstnanosti</w:t>
      </w:r>
    </w:p>
    <w:p w14:paraId="54D6F33F" w14:textId="669410AC" w:rsidR="00B31833" w:rsidRPr="00B31833" w:rsidRDefault="00B31833" w:rsidP="00B3183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</w:t>
      </w:r>
      <w:r w:rsidRPr="00B31833">
        <w:rPr>
          <w:rFonts w:ascii="Arial" w:hAnsi="Arial" w:cs="Arial"/>
          <w:i/>
          <w:iCs/>
          <w:sz w:val="20"/>
          <w:szCs w:val="20"/>
        </w:rPr>
        <w:t>nalýzy možnosti vytvoření nových či přizpůsobení stávajících nástrojů podporujících přizpůsobení podniků a jejich zaměstnanců technologickým změnám v prostředí 4. průmyslové revoluce při zachování maximální možné míry zaměstnanosti</w:t>
      </w:r>
    </w:p>
    <w:p w14:paraId="635F7D27" w14:textId="3E5897BA" w:rsidR="00B31833" w:rsidRDefault="00B31833" w:rsidP="00B31833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31833">
        <w:rPr>
          <w:rFonts w:ascii="Arial" w:hAnsi="Arial" w:cs="Arial"/>
          <w:i/>
          <w:iCs/>
          <w:sz w:val="20"/>
          <w:szCs w:val="20"/>
        </w:rPr>
        <w:t xml:space="preserve">Analýza potenciálu stříbrné ekonomiky pro rozvoj Ústeckého, Karlovarského a Moravskoslezského kraje  </w:t>
      </w:r>
    </w:p>
    <w:p w14:paraId="67C17E9A" w14:textId="77777777" w:rsidR="00F0087D" w:rsidRDefault="00F0087D" w:rsidP="00622BC1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814E36C" w14:textId="2902A78F" w:rsidR="0043085D" w:rsidRPr="00C6545E" w:rsidRDefault="0043085D" w:rsidP="00C6545E">
      <w:pPr>
        <w:pStyle w:val="Nadpis1"/>
        <w:rPr>
          <w:b/>
          <w:bCs/>
          <w:sz w:val="28"/>
          <w:szCs w:val="28"/>
        </w:rPr>
      </w:pPr>
      <w:r w:rsidRPr="00C6545E">
        <w:rPr>
          <w:b/>
          <w:bCs/>
          <w:sz w:val="28"/>
          <w:szCs w:val="28"/>
        </w:rPr>
        <w:t>Závěr</w:t>
      </w:r>
    </w:p>
    <w:p w14:paraId="7FED2440" w14:textId="77777777" w:rsidR="0043085D" w:rsidRPr="00597AFE" w:rsidRDefault="0043085D" w:rsidP="00515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7B0961" w14:textId="0D912C11" w:rsidR="003621D1" w:rsidRPr="003621D1" w:rsidRDefault="00222C9C" w:rsidP="003540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515F2B" w:rsidRPr="00597AFE">
        <w:rPr>
          <w:rFonts w:ascii="Arial" w:hAnsi="Arial" w:cs="Arial"/>
          <w:sz w:val="20"/>
          <w:szCs w:val="20"/>
        </w:rPr>
        <w:t xml:space="preserve">oučasné </w:t>
      </w:r>
      <w:r w:rsidR="00865896" w:rsidRPr="00597AFE">
        <w:rPr>
          <w:rFonts w:ascii="Arial" w:hAnsi="Arial" w:cs="Arial"/>
          <w:sz w:val="20"/>
          <w:szCs w:val="20"/>
        </w:rPr>
        <w:t>hodnoty indikátorů</w:t>
      </w:r>
      <w:r>
        <w:rPr>
          <w:rFonts w:ascii="Arial" w:hAnsi="Arial" w:cs="Arial"/>
          <w:sz w:val="20"/>
          <w:szCs w:val="20"/>
        </w:rPr>
        <w:t xml:space="preserve">, jak bylo zmíněno v úvodu přílohy, </w:t>
      </w:r>
      <w:r w:rsidR="00865896" w:rsidRPr="00597AFE">
        <w:rPr>
          <w:rFonts w:ascii="Arial" w:hAnsi="Arial" w:cs="Arial"/>
          <w:sz w:val="20"/>
          <w:szCs w:val="20"/>
        </w:rPr>
        <w:t xml:space="preserve"> jsou</w:t>
      </w:r>
      <w:r w:rsidR="00FD5CE5">
        <w:rPr>
          <w:rFonts w:ascii="Arial" w:hAnsi="Arial" w:cs="Arial"/>
          <w:sz w:val="20"/>
          <w:szCs w:val="20"/>
        </w:rPr>
        <w:t xml:space="preserve"> dány</w:t>
      </w:r>
      <w:r w:rsidR="00515F2B" w:rsidRPr="00597AFE">
        <w:rPr>
          <w:rFonts w:ascii="Arial" w:hAnsi="Arial" w:cs="Arial"/>
          <w:sz w:val="20"/>
          <w:szCs w:val="20"/>
        </w:rPr>
        <w:t xml:space="preserve"> postupně získávanými daty a budou se dále vyvíjet. </w:t>
      </w:r>
      <w:r w:rsidR="00865896" w:rsidRPr="00597AFE">
        <w:rPr>
          <w:rFonts w:ascii="Arial" w:hAnsi="Arial" w:cs="Arial"/>
          <w:sz w:val="20"/>
          <w:szCs w:val="20"/>
        </w:rPr>
        <w:t xml:space="preserve">Ve snaze být v kontaktu s aktéry v území a </w:t>
      </w:r>
      <w:r w:rsidR="00515F2B" w:rsidRPr="00597AFE">
        <w:rPr>
          <w:rFonts w:ascii="Arial" w:hAnsi="Arial" w:cs="Arial"/>
          <w:sz w:val="20"/>
          <w:szCs w:val="20"/>
        </w:rPr>
        <w:t>docílit tak cenné</w:t>
      </w:r>
      <w:r w:rsidR="00865896" w:rsidRPr="00597AFE">
        <w:rPr>
          <w:rFonts w:ascii="Arial" w:hAnsi="Arial" w:cs="Arial"/>
          <w:sz w:val="20"/>
          <w:szCs w:val="20"/>
        </w:rPr>
        <w:t xml:space="preserve"> zpětn</w:t>
      </w:r>
      <w:r w:rsidR="00515F2B" w:rsidRPr="00597AFE">
        <w:rPr>
          <w:rFonts w:ascii="Arial" w:hAnsi="Arial" w:cs="Arial"/>
          <w:sz w:val="20"/>
          <w:szCs w:val="20"/>
        </w:rPr>
        <w:t xml:space="preserve">é </w:t>
      </w:r>
      <w:r w:rsidR="00865896" w:rsidRPr="00597AFE">
        <w:rPr>
          <w:rFonts w:ascii="Arial" w:hAnsi="Arial" w:cs="Arial"/>
          <w:sz w:val="20"/>
          <w:szCs w:val="20"/>
        </w:rPr>
        <w:t>vazb</w:t>
      </w:r>
      <w:r w:rsidR="00515F2B" w:rsidRPr="00597AFE">
        <w:rPr>
          <w:rFonts w:ascii="Arial" w:hAnsi="Arial" w:cs="Arial"/>
          <w:sz w:val="20"/>
          <w:szCs w:val="20"/>
        </w:rPr>
        <w:t>y</w:t>
      </w:r>
      <w:r w:rsidR="00865896" w:rsidRPr="00597AFE">
        <w:rPr>
          <w:rFonts w:ascii="Arial" w:hAnsi="Arial" w:cs="Arial"/>
          <w:sz w:val="20"/>
          <w:szCs w:val="20"/>
        </w:rPr>
        <w:t>,</w:t>
      </w:r>
      <w:r w:rsidR="0035199F">
        <w:rPr>
          <w:rFonts w:ascii="Arial" w:hAnsi="Arial" w:cs="Arial"/>
          <w:sz w:val="20"/>
          <w:szCs w:val="20"/>
        </w:rPr>
        <w:t xml:space="preserve"> která je potřebná i pro nastavování dotačních programů,</w:t>
      </w:r>
      <w:r w:rsidR="00865896" w:rsidRPr="00597AFE">
        <w:rPr>
          <w:rFonts w:ascii="Arial" w:hAnsi="Arial" w:cs="Arial"/>
          <w:sz w:val="20"/>
          <w:szCs w:val="20"/>
        </w:rPr>
        <w:t xml:space="preserve"> jsou </w:t>
      </w:r>
      <w:r w:rsidR="00F0087D">
        <w:rPr>
          <w:rFonts w:ascii="Arial" w:hAnsi="Arial" w:cs="Arial"/>
          <w:sz w:val="20"/>
          <w:szCs w:val="20"/>
        </w:rPr>
        <w:t xml:space="preserve">údaje </w:t>
      </w:r>
      <w:r w:rsidR="00865896" w:rsidRPr="00597AFE">
        <w:rPr>
          <w:rFonts w:ascii="Arial" w:hAnsi="Arial" w:cs="Arial"/>
          <w:sz w:val="20"/>
          <w:szCs w:val="20"/>
        </w:rPr>
        <w:t xml:space="preserve">získávány převážně </w:t>
      </w:r>
      <w:r w:rsidR="00515F2B" w:rsidRPr="00597AFE">
        <w:rPr>
          <w:rFonts w:ascii="Arial" w:hAnsi="Arial" w:cs="Arial"/>
          <w:sz w:val="20"/>
          <w:szCs w:val="20"/>
        </w:rPr>
        <w:t>přímým oslovováním žadatelů</w:t>
      </w:r>
      <w:r w:rsidR="00807FE8">
        <w:rPr>
          <w:rFonts w:ascii="Arial" w:hAnsi="Arial" w:cs="Arial"/>
          <w:sz w:val="20"/>
          <w:szCs w:val="20"/>
        </w:rPr>
        <w:t>.</w:t>
      </w:r>
      <w:r w:rsidR="00515F2B" w:rsidRPr="00597AFE">
        <w:rPr>
          <w:rFonts w:ascii="Arial" w:hAnsi="Arial" w:cs="Arial"/>
          <w:sz w:val="20"/>
          <w:szCs w:val="20"/>
        </w:rPr>
        <w:t xml:space="preserve"> Alternativní formou je vyžádání souhrnných dat od poskytovatelů dotací. </w:t>
      </w:r>
    </w:p>
    <w:sectPr w:rsidR="003621D1" w:rsidRPr="003621D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7CD70" w14:textId="77777777" w:rsidR="00271A8C" w:rsidRDefault="00271A8C" w:rsidP="007E47C5">
      <w:pPr>
        <w:spacing w:after="0" w:line="240" w:lineRule="auto"/>
      </w:pPr>
      <w:r>
        <w:separator/>
      </w:r>
    </w:p>
  </w:endnote>
  <w:endnote w:type="continuationSeparator" w:id="0">
    <w:p w14:paraId="74A30842" w14:textId="77777777" w:rsidR="00271A8C" w:rsidRDefault="00271A8C" w:rsidP="007E4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8614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F23EB2" w14:textId="5ECD148F" w:rsidR="00FB0769" w:rsidRDefault="00FB0769">
            <w:pPr>
              <w:pStyle w:val="Zpat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58EB7B" w14:textId="77777777" w:rsidR="00FB0769" w:rsidRDefault="00FB07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C5F5D" w14:textId="77777777" w:rsidR="00271A8C" w:rsidRDefault="00271A8C" w:rsidP="007E47C5">
      <w:pPr>
        <w:spacing w:after="0" w:line="240" w:lineRule="auto"/>
      </w:pPr>
      <w:r>
        <w:separator/>
      </w:r>
    </w:p>
  </w:footnote>
  <w:footnote w:type="continuationSeparator" w:id="0">
    <w:p w14:paraId="7EE86EFB" w14:textId="77777777" w:rsidR="00271A8C" w:rsidRDefault="00271A8C" w:rsidP="007E47C5">
      <w:pPr>
        <w:spacing w:after="0" w:line="240" w:lineRule="auto"/>
      </w:pPr>
      <w:r>
        <w:continuationSeparator/>
      </w:r>
    </w:p>
  </w:footnote>
  <w:footnote w:id="1">
    <w:p w14:paraId="4245A709" w14:textId="6D9E070E" w:rsidR="007E47C5" w:rsidRDefault="007E47C5">
      <w:pPr>
        <w:pStyle w:val="Textpoznpodarou"/>
      </w:pPr>
      <w:r>
        <w:rPr>
          <w:rStyle w:val="Znakapoznpodarou"/>
        </w:rPr>
        <w:footnoteRef/>
      </w:r>
      <w:r>
        <w:t xml:space="preserve"> Viz vysvětlení v úvodu kapitoly Indikátory</w:t>
      </w:r>
    </w:p>
  </w:footnote>
  <w:footnote w:id="2">
    <w:p w14:paraId="72587EAE" w14:textId="44A99171" w:rsidR="007E47C5" w:rsidRDefault="007E47C5">
      <w:pPr>
        <w:pStyle w:val="Textpoznpodarou"/>
      </w:pPr>
      <w:r>
        <w:rPr>
          <w:rStyle w:val="Znakapoznpodarou"/>
        </w:rPr>
        <w:footnoteRef/>
      </w:r>
      <w:r>
        <w:t xml:space="preserve"> Viz komentář v úvodu kapitoly indikátory</w:t>
      </w:r>
    </w:p>
  </w:footnote>
  <w:footnote w:id="3">
    <w:p w14:paraId="5FE95788" w14:textId="1C60382D" w:rsidR="00CB5854" w:rsidRDefault="00CB5854">
      <w:pPr>
        <w:pStyle w:val="Textpoznpodarou"/>
      </w:pPr>
      <w:r>
        <w:rPr>
          <w:rStyle w:val="Znakapoznpodarou"/>
        </w:rPr>
        <w:footnoteRef/>
      </w:r>
      <w:r>
        <w:t xml:space="preserve"> Viz vysvětlení v úvodu kapitoly Indikátory</w:t>
      </w:r>
    </w:p>
  </w:footnote>
  <w:footnote w:id="4">
    <w:p w14:paraId="11B1501B" w14:textId="667ED799" w:rsidR="00CB5854" w:rsidRDefault="00CB5854">
      <w:pPr>
        <w:pStyle w:val="Textpoznpodarou"/>
      </w:pPr>
      <w:r>
        <w:rPr>
          <w:rStyle w:val="Znakapoznpodarou"/>
        </w:rPr>
        <w:footnoteRef/>
      </w:r>
      <w:r>
        <w:t xml:space="preserve"> Viz vysvětlení v úvodu kapitoly Indikátory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60F7"/>
    <w:multiLevelType w:val="hybridMultilevel"/>
    <w:tmpl w:val="831C2E3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5A7C"/>
    <w:multiLevelType w:val="hybridMultilevel"/>
    <w:tmpl w:val="38C2FAE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35800"/>
    <w:multiLevelType w:val="hybridMultilevel"/>
    <w:tmpl w:val="82FA2C78"/>
    <w:lvl w:ilvl="0" w:tplc="272E65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80E99"/>
    <w:multiLevelType w:val="hybridMultilevel"/>
    <w:tmpl w:val="38A2122A"/>
    <w:lvl w:ilvl="0" w:tplc="A16AFE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832B2"/>
    <w:multiLevelType w:val="hybridMultilevel"/>
    <w:tmpl w:val="2EC0DD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C182C"/>
    <w:multiLevelType w:val="hybridMultilevel"/>
    <w:tmpl w:val="AEF43D6E"/>
    <w:lvl w:ilvl="0" w:tplc="D63077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41310"/>
    <w:multiLevelType w:val="hybridMultilevel"/>
    <w:tmpl w:val="89D2BFF0"/>
    <w:lvl w:ilvl="0" w:tplc="14D6C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268CF"/>
    <w:multiLevelType w:val="multilevel"/>
    <w:tmpl w:val="57F6EC16"/>
    <w:lvl w:ilvl="0">
      <w:start w:val="1"/>
      <w:numFmt w:val="decimal"/>
      <w:pStyle w:val="Nadpis1"/>
      <w:lvlText w:val="%1"/>
      <w:lvlJc w:val="left"/>
      <w:pPr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EE978A0"/>
    <w:multiLevelType w:val="hybridMultilevel"/>
    <w:tmpl w:val="EB4A11F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598355">
    <w:abstractNumId w:val="5"/>
  </w:num>
  <w:num w:numId="2" w16cid:durableId="1098867774">
    <w:abstractNumId w:val="2"/>
  </w:num>
  <w:num w:numId="3" w16cid:durableId="2058045652">
    <w:abstractNumId w:val="6"/>
  </w:num>
  <w:num w:numId="4" w16cid:durableId="798111685">
    <w:abstractNumId w:val="3"/>
  </w:num>
  <w:num w:numId="5" w16cid:durableId="55932254">
    <w:abstractNumId w:val="7"/>
  </w:num>
  <w:num w:numId="6" w16cid:durableId="931667217">
    <w:abstractNumId w:val="4"/>
  </w:num>
  <w:num w:numId="7" w16cid:durableId="543105169">
    <w:abstractNumId w:val="1"/>
  </w:num>
  <w:num w:numId="8" w16cid:durableId="1924871055">
    <w:abstractNumId w:val="0"/>
  </w:num>
  <w:num w:numId="9" w16cid:durableId="14195249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3A"/>
    <w:rsid w:val="00006FBF"/>
    <w:rsid w:val="000120A9"/>
    <w:rsid w:val="0001377A"/>
    <w:rsid w:val="000236BD"/>
    <w:rsid w:val="00042616"/>
    <w:rsid w:val="00047603"/>
    <w:rsid w:val="00053714"/>
    <w:rsid w:val="00095FB1"/>
    <w:rsid w:val="0009632A"/>
    <w:rsid w:val="000B09D8"/>
    <w:rsid w:val="000B6B69"/>
    <w:rsid w:val="000E3773"/>
    <w:rsid w:val="000E6676"/>
    <w:rsid w:val="00105AFA"/>
    <w:rsid w:val="001217C7"/>
    <w:rsid w:val="00121D86"/>
    <w:rsid w:val="001251BA"/>
    <w:rsid w:val="00125D31"/>
    <w:rsid w:val="00130F9F"/>
    <w:rsid w:val="0013723F"/>
    <w:rsid w:val="00137F8B"/>
    <w:rsid w:val="00140D09"/>
    <w:rsid w:val="001617FA"/>
    <w:rsid w:val="00172D4B"/>
    <w:rsid w:val="001807B9"/>
    <w:rsid w:val="0018454D"/>
    <w:rsid w:val="001B7B86"/>
    <w:rsid w:val="001C49C5"/>
    <w:rsid w:val="001D0B0A"/>
    <w:rsid w:val="001D2ED7"/>
    <w:rsid w:val="001E3A31"/>
    <w:rsid w:val="001F6E28"/>
    <w:rsid w:val="002011AD"/>
    <w:rsid w:val="00205378"/>
    <w:rsid w:val="0020537E"/>
    <w:rsid w:val="002110D9"/>
    <w:rsid w:val="00222C9C"/>
    <w:rsid w:val="00225A8C"/>
    <w:rsid w:val="0023617E"/>
    <w:rsid w:val="00253CF9"/>
    <w:rsid w:val="002572DF"/>
    <w:rsid w:val="00271A8C"/>
    <w:rsid w:val="00286FB0"/>
    <w:rsid w:val="0028763B"/>
    <w:rsid w:val="002876BC"/>
    <w:rsid w:val="002A3CDB"/>
    <w:rsid w:val="002A746B"/>
    <w:rsid w:val="002B6311"/>
    <w:rsid w:val="002D47C9"/>
    <w:rsid w:val="00302CC2"/>
    <w:rsid w:val="00314A54"/>
    <w:rsid w:val="00322110"/>
    <w:rsid w:val="00326EFC"/>
    <w:rsid w:val="0035199F"/>
    <w:rsid w:val="003540EB"/>
    <w:rsid w:val="003621D1"/>
    <w:rsid w:val="0037166B"/>
    <w:rsid w:val="003775E5"/>
    <w:rsid w:val="00377A6C"/>
    <w:rsid w:val="00380B83"/>
    <w:rsid w:val="003A5E75"/>
    <w:rsid w:val="003B0B83"/>
    <w:rsid w:val="003C3DF4"/>
    <w:rsid w:val="003C63A2"/>
    <w:rsid w:val="003E33F0"/>
    <w:rsid w:val="003F13BD"/>
    <w:rsid w:val="003F1E6F"/>
    <w:rsid w:val="00414DF1"/>
    <w:rsid w:val="0043085D"/>
    <w:rsid w:val="00442662"/>
    <w:rsid w:val="00476FF3"/>
    <w:rsid w:val="0048252E"/>
    <w:rsid w:val="00493F2D"/>
    <w:rsid w:val="004E0338"/>
    <w:rsid w:val="004E335A"/>
    <w:rsid w:val="004E64D6"/>
    <w:rsid w:val="004F260F"/>
    <w:rsid w:val="00502C6A"/>
    <w:rsid w:val="0051268B"/>
    <w:rsid w:val="00512F30"/>
    <w:rsid w:val="00515F2B"/>
    <w:rsid w:val="005327DA"/>
    <w:rsid w:val="00535359"/>
    <w:rsid w:val="00541E44"/>
    <w:rsid w:val="00550EB4"/>
    <w:rsid w:val="00571E3F"/>
    <w:rsid w:val="00597AFE"/>
    <w:rsid w:val="00597F11"/>
    <w:rsid w:val="005A553D"/>
    <w:rsid w:val="005C6B2E"/>
    <w:rsid w:val="005E1903"/>
    <w:rsid w:val="00622BC1"/>
    <w:rsid w:val="00645EAD"/>
    <w:rsid w:val="00652549"/>
    <w:rsid w:val="00653A3B"/>
    <w:rsid w:val="00672A72"/>
    <w:rsid w:val="006827E2"/>
    <w:rsid w:val="00691204"/>
    <w:rsid w:val="006A4B15"/>
    <w:rsid w:val="006A7333"/>
    <w:rsid w:val="006C2B68"/>
    <w:rsid w:val="006C46B9"/>
    <w:rsid w:val="006C785C"/>
    <w:rsid w:val="006E10E3"/>
    <w:rsid w:val="006E6819"/>
    <w:rsid w:val="007034C6"/>
    <w:rsid w:val="00723124"/>
    <w:rsid w:val="007247A8"/>
    <w:rsid w:val="00725794"/>
    <w:rsid w:val="0073019E"/>
    <w:rsid w:val="007365BA"/>
    <w:rsid w:val="00743C00"/>
    <w:rsid w:val="00746C14"/>
    <w:rsid w:val="00751D32"/>
    <w:rsid w:val="00752501"/>
    <w:rsid w:val="007532A1"/>
    <w:rsid w:val="007657F3"/>
    <w:rsid w:val="00771936"/>
    <w:rsid w:val="0078303F"/>
    <w:rsid w:val="007914EE"/>
    <w:rsid w:val="007934E5"/>
    <w:rsid w:val="007B6753"/>
    <w:rsid w:val="007D151B"/>
    <w:rsid w:val="007D289E"/>
    <w:rsid w:val="007D33AB"/>
    <w:rsid w:val="007D6FB3"/>
    <w:rsid w:val="007E47C5"/>
    <w:rsid w:val="007F0792"/>
    <w:rsid w:val="00803F8C"/>
    <w:rsid w:val="008050FF"/>
    <w:rsid w:val="00807FE8"/>
    <w:rsid w:val="0081216E"/>
    <w:rsid w:val="00821700"/>
    <w:rsid w:val="008312E7"/>
    <w:rsid w:val="00832F10"/>
    <w:rsid w:val="00834365"/>
    <w:rsid w:val="00840F60"/>
    <w:rsid w:val="0084622C"/>
    <w:rsid w:val="00847FE3"/>
    <w:rsid w:val="0085074D"/>
    <w:rsid w:val="00862C30"/>
    <w:rsid w:val="00864122"/>
    <w:rsid w:val="00865896"/>
    <w:rsid w:val="0087283D"/>
    <w:rsid w:val="00892B10"/>
    <w:rsid w:val="00895930"/>
    <w:rsid w:val="008B4CFF"/>
    <w:rsid w:val="008B4F4C"/>
    <w:rsid w:val="008C0C80"/>
    <w:rsid w:val="008C3A9D"/>
    <w:rsid w:val="008D0711"/>
    <w:rsid w:val="008E4C6B"/>
    <w:rsid w:val="008E723B"/>
    <w:rsid w:val="008E77FE"/>
    <w:rsid w:val="009117BB"/>
    <w:rsid w:val="0092004D"/>
    <w:rsid w:val="00920A34"/>
    <w:rsid w:val="00923D2B"/>
    <w:rsid w:val="0093211F"/>
    <w:rsid w:val="00937202"/>
    <w:rsid w:val="009409F7"/>
    <w:rsid w:val="00941B3E"/>
    <w:rsid w:val="00941BAE"/>
    <w:rsid w:val="0095567A"/>
    <w:rsid w:val="00974724"/>
    <w:rsid w:val="00985B21"/>
    <w:rsid w:val="0098746A"/>
    <w:rsid w:val="00997382"/>
    <w:rsid w:val="009975E2"/>
    <w:rsid w:val="009A1DBD"/>
    <w:rsid w:val="009A2FBE"/>
    <w:rsid w:val="009B3919"/>
    <w:rsid w:val="009E09E7"/>
    <w:rsid w:val="009E415F"/>
    <w:rsid w:val="009F6FF5"/>
    <w:rsid w:val="009F73AF"/>
    <w:rsid w:val="00A0165A"/>
    <w:rsid w:val="00A020B7"/>
    <w:rsid w:val="00A11BE1"/>
    <w:rsid w:val="00A13D79"/>
    <w:rsid w:val="00A21889"/>
    <w:rsid w:val="00A37838"/>
    <w:rsid w:val="00A56E14"/>
    <w:rsid w:val="00A80EEB"/>
    <w:rsid w:val="00A966C4"/>
    <w:rsid w:val="00AC5017"/>
    <w:rsid w:val="00AD22AC"/>
    <w:rsid w:val="00AD3805"/>
    <w:rsid w:val="00AD4546"/>
    <w:rsid w:val="00AF119F"/>
    <w:rsid w:val="00AF1289"/>
    <w:rsid w:val="00AF7F1C"/>
    <w:rsid w:val="00B11CA7"/>
    <w:rsid w:val="00B21E16"/>
    <w:rsid w:val="00B31833"/>
    <w:rsid w:val="00B536BB"/>
    <w:rsid w:val="00B64F1A"/>
    <w:rsid w:val="00B70A42"/>
    <w:rsid w:val="00B72562"/>
    <w:rsid w:val="00B73108"/>
    <w:rsid w:val="00B8023D"/>
    <w:rsid w:val="00B90D9E"/>
    <w:rsid w:val="00BB3A74"/>
    <w:rsid w:val="00BD208E"/>
    <w:rsid w:val="00BD2FF4"/>
    <w:rsid w:val="00BE75D5"/>
    <w:rsid w:val="00BF3495"/>
    <w:rsid w:val="00BF396A"/>
    <w:rsid w:val="00C01511"/>
    <w:rsid w:val="00C05AD0"/>
    <w:rsid w:val="00C17E97"/>
    <w:rsid w:val="00C25571"/>
    <w:rsid w:val="00C27A27"/>
    <w:rsid w:val="00C459D0"/>
    <w:rsid w:val="00C51036"/>
    <w:rsid w:val="00C6545E"/>
    <w:rsid w:val="00C65BF1"/>
    <w:rsid w:val="00C677F1"/>
    <w:rsid w:val="00C755C3"/>
    <w:rsid w:val="00C900A7"/>
    <w:rsid w:val="00C94485"/>
    <w:rsid w:val="00CA4111"/>
    <w:rsid w:val="00CA4A9C"/>
    <w:rsid w:val="00CA74DE"/>
    <w:rsid w:val="00CB5854"/>
    <w:rsid w:val="00CB742B"/>
    <w:rsid w:val="00CC01FD"/>
    <w:rsid w:val="00CC1F39"/>
    <w:rsid w:val="00CC4A0C"/>
    <w:rsid w:val="00CC6B75"/>
    <w:rsid w:val="00CE48EE"/>
    <w:rsid w:val="00CE75EF"/>
    <w:rsid w:val="00CF3101"/>
    <w:rsid w:val="00D11369"/>
    <w:rsid w:val="00D14C4E"/>
    <w:rsid w:val="00D22AE6"/>
    <w:rsid w:val="00D45D20"/>
    <w:rsid w:val="00D56725"/>
    <w:rsid w:val="00D612B2"/>
    <w:rsid w:val="00D61FCE"/>
    <w:rsid w:val="00D62ABB"/>
    <w:rsid w:val="00D659F7"/>
    <w:rsid w:val="00D80844"/>
    <w:rsid w:val="00D82DAA"/>
    <w:rsid w:val="00D8572E"/>
    <w:rsid w:val="00D8655A"/>
    <w:rsid w:val="00D9353C"/>
    <w:rsid w:val="00DA0ECC"/>
    <w:rsid w:val="00DA32A7"/>
    <w:rsid w:val="00DE2CEC"/>
    <w:rsid w:val="00DE553A"/>
    <w:rsid w:val="00E07CA2"/>
    <w:rsid w:val="00E34792"/>
    <w:rsid w:val="00E363FD"/>
    <w:rsid w:val="00E410D6"/>
    <w:rsid w:val="00E443EE"/>
    <w:rsid w:val="00E8094C"/>
    <w:rsid w:val="00E84DDA"/>
    <w:rsid w:val="00E8701A"/>
    <w:rsid w:val="00EA3509"/>
    <w:rsid w:val="00EA3A2D"/>
    <w:rsid w:val="00EE69CE"/>
    <w:rsid w:val="00EF0EDE"/>
    <w:rsid w:val="00EF1F61"/>
    <w:rsid w:val="00EF2911"/>
    <w:rsid w:val="00EF2EF7"/>
    <w:rsid w:val="00EF4456"/>
    <w:rsid w:val="00EF48B4"/>
    <w:rsid w:val="00EF743D"/>
    <w:rsid w:val="00F0087D"/>
    <w:rsid w:val="00F20C7B"/>
    <w:rsid w:val="00F332B3"/>
    <w:rsid w:val="00F43831"/>
    <w:rsid w:val="00F47B8D"/>
    <w:rsid w:val="00F51F41"/>
    <w:rsid w:val="00F66B27"/>
    <w:rsid w:val="00F82E53"/>
    <w:rsid w:val="00FB0769"/>
    <w:rsid w:val="00FB177F"/>
    <w:rsid w:val="00FC65B7"/>
    <w:rsid w:val="00FC6B9C"/>
    <w:rsid w:val="00FD5CE5"/>
    <w:rsid w:val="00FD705D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11D17"/>
  <w15:chartTrackingRefBased/>
  <w15:docId w15:val="{6449ACB9-F155-4ACA-A630-3BC284346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D0711"/>
    <w:pPr>
      <w:keepNext/>
      <w:keepLines/>
      <w:numPr>
        <w:numId w:val="5"/>
      </w:numPr>
      <w:spacing w:before="240" w:after="0"/>
      <w:ind w:left="432"/>
      <w:outlineLvl w:val="0"/>
    </w:pPr>
    <w:rPr>
      <w:rFonts w:ascii="Arial" w:eastAsiaTheme="majorEastAsia" w:hAnsi="Arial" w:cstheme="majorBidi"/>
      <w:color w:val="70AD47" w:themeColor="accent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D0711"/>
    <w:pPr>
      <w:keepNext/>
      <w:keepLines/>
      <w:numPr>
        <w:ilvl w:val="1"/>
        <w:numId w:val="5"/>
      </w:numPr>
      <w:spacing w:before="40" w:after="0"/>
      <w:outlineLvl w:val="1"/>
    </w:pPr>
    <w:rPr>
      <w:rFonts w:ascii="Arial" w:eastAsiaTheme="majorEastAsia" w:hAnsi="Arial" w:cstheme="majorBidi"/>
      <w:color w:val="70AD47" w:themeColor="accent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4724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74724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4724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4724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4724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74724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74724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4365"/>
    <w:pPr>
      <w:ind w:left="720"/>
      <w:contextualSpacing/>
    </w:pPr>
  </w:style>
  <w:style w:type="table" w:styleId="Mkatabulky">
    <w:name w:val="Table Grid"/>
    <w:basedOn w:val="Normlntabulka"/>
    <w:uiPriority w:val="39"/>
    <w:rsid w:val="00571E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80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0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8D0711"/>
    <w:rPr>
      <w:rFonts w:ascii="Arial" w:eastAsiaTheme="majorEastAsia" w:hAnsi="Arial" w:cstheme="majorBidi"/>
      <w:color w:val="70AD47" w:themeColor="accent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D0711"/>
    <w:rPr>
      <w:rFonts w:ascii="Arial" w:eastAsiaTheme="majorEastAsia" w:hAnsi="Arial" w:cstheme="majorBidi"/>
      <w:color w:val="70AD47" w:themeColor="accent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747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97472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472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472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472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747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747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CA41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411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41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41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4111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E47C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E47C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E47C5"/>
    <w:rPr>
      <w:vertAlign w:val="superscript"/>
    </w:rPr>
  </w:style>
  <w:style w:type="paragraph" w:styleId="Revize">
    <w:name w:val="Revision"/>
    <w:hidden/>
    <w:uiPriority w:val="99"/>
    <w:semiHidden/>
    <w:rsid w:val="00DE2CE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FB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0769"/>
  </w:style>
  <w:style w:type="paragraph" w:styleId="Zpat">
    <w:name w:val="footer"/>
    <w:basedOn w:val="Normln"/>
    <w:link w:val="ZpatChar"/>
    <w:uiPriority w:val="99"/>
    <w:unhideWhenUsed/>
    <w:rsid w:val="00FB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0769"/>
  </w:style>
  <w:style w:type="table" w:styleId="Tabulkaseznamu3zvraznn6">
    <w:name w:val="List Table 3 Accent 6"/>
    <w:basedOn w:val="Normlntabulka"/>
    <w:uiPriority w:val="48"/>
    <w:rsid w:val="00E8094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84C3129CE6E94F967B3B03A604CB07" ma:contentTypeVersion="10" ma:contentTypeDescription="Vytvoří nový dokument" ma:contentTypeScope="" ma:versionID="dfe80062860dee6d602ed25e2c44ca1e">
  <xsd:schema xmlns:xsd="http://www.w3.org/2001/XMLSchema" xmlns:xs="http://www.w3.org/2001/XMLSchema" xmlns:p="http://schemas.microsoft.com/office/2006/metadata/properties" xmlns:ns2="daddd675-6c83-4598-9286-5be6c838b104" xmlns:ns3="1cb2644d-9f5e-4571-b160-7b65398670a5" targetNamespace="http://schemas.microsoft.com/office/2006/metadata/properties" ma:root="true" ma:fieldsID="8b0f27127360f192c0a54d3e816a20cd" ns2:_="" ns3:_="">
    <xsd:import namespace="daddd675-6c83-4598-9286-5be6c838b104"/>
    <xsd:import namespace="1cb2644d-9f5e-4571-b160-7b65398670a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dd675-6c83-4598-9286-5be6c838b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2644d-9f5e-4571-b160-7b6539867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1D0011-ECA1-4A8D-833C-1BAFB7448C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4993CC-AFDC-4B36-AB19-7EFC43D8EA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A255CB-3CB1-46F8-B8E3-7B6AFE0D8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dd675-6c83-4598-9286-5be6c838b104"/>
    <ds:schemaRef ds:uri="1cb2644d-9f5e-4571-b160-7b6539867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F83406-24B4-4A1A-A5CB-682D341B13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2321</Words>
  <Characters>13699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Okurková Tereza</dc:creator>
  <cp:keywords/>
  <dc:description/>
  <cp:lastModifiedBy>Šimková Denisa</cp:lastModifiedBy>
  <cp:revision>2</cp:revision>
  <dcterms:created xsi:type="dcterms:W3CDTF">2024-02-20T08:18:00Z</dcterms:created>
  <dcterms:modified xsi:type="dcterms:W3CDTF">2024-02-20T08:18:00Z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0x0101007984C3129CE6E94F967B3B03A604CB07</vt:lpwstr>
  </property>
</Properties>
</file>